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F8C" w:rsidRPr="00DE0F8C" w:rsidRDefault="00EA2064" w:rsidP="00DE0F8C">
      <w:pPr>
        <w:autoSpaceDE w:val="0"/>
        <w:autoSpaceDN w:val="0"/>
        <w:adjustRightInd w:val="0"/>
        <w:jc w:val="center"/>
        <w:rPr>
          <w:rFonts w:ascii="ＭＳ 明朝" w:eastAsia="ＭＳ 明朝" w:cs="ＭＳ 明朝"/>
          <w:color w:val="000000"/>
          <w:kern w:val="0"/>
          <w:sz w:val="22"/>
        </w:rPr>
      </w:pPr>
      <w:r w:rsidRPr="00EA2064">
        <w:rPr>
          <w:rFonts w:ascii="ＭＳ 明朝" w:eastAsia="ＭＳ 明朝" w:hAnsi="ＭＳ 明朝" w:hint="eastAsia"/>
          <w:sz w:val="22"/>
        </w:rPr>
        <w:t>尾道</w:t>
      </w:r>
      <w:r w:rsidRPr="00EA2064">
        <w:rPr>
          <w:rFonts w:ascii="ＭＳ 明朝" w:eastAsia="ＭＳ 明朝" w:hAnsi="ＭＳ 明朝"/>
          <w:sz w:val="22"/>
        </w:rPr>
        <w:t>市</w:t>
      </w:r>
      <w:r w:rsidRPr="00EA2064">
        <w:rPr>
          <w:rFonts w:ascii="ＭＳ 明朝" w:eastAsia="ＭＳ 明朝" w:hAnsi="ＭＳ 明朝" w:hint="eastAsia"/>
          <w:sz w:val="22"/>
        </w:rPr>
        <w:t>本庁舎売店</w:t>
      </w:r>
      <w:r w:rsidR="001506D5" w:rsidRPr="001506D5">
        <w:rPr>
          <w:rFonts w:ascii="ＭＳ 明朝" w:eastAsia="ＭＳ 明朝" w:hAnsi="ＭＳ 明朝" w:hint="eastAsia"/>
          <w:sz w:val="22"/>
        </w:rPr>
        <w:t>自動釣銭機</w:t>
      </w:r>
      <w:r w:rsidRPr="00EA2064">
        <w:rPr>
          <w:rFonts w:ascii="ＭＳ 明朝" w:eastAsia="ＭＳ 明朝" w:hAnsi="ＭＳ 明朝"/>
          <w:sz w:val="22"/>
        </w:rPr>
        <w:t>導入</w:t>
      </w:r>
      <w:r w:rsidR="00412D4D">
        <w:rPr>
          <w:rFonts w:ascii="ＭＳ 明朝" w:eastAsia="ＭＳ 明朝" w:hAnsi="ＭＳ 明朝" w:hint="eastAsia"/>
          <w:sz w:val="22"/>
        </w:rPr>
        <w:t>・管理</w:t>
      </w:r>
      <w:r w:rsidR="00A90975">
        <w:rPr>
          <w:rFonts w:ascii="ＭＳ 明朝" w:eastAsia="ＭＳ 明朝" w:hAnsi="ＭＳ 明朝" w:hint="eastAsia"/>
          <w:sz w:val="22"/>
        </w:rPr>
        <w:t>業務</w:t>
      </w:r>
      <w:r w:rsidR="00DE0F8C" w:rsidRPr="00EA2064">
        <w:rPr>
          <w:rFonts w:ascii="ＭＳ 明朝" w:eastAsia="ＭＳ 明朝" w:hAnsi="ＭＳ 明朝" w:cs="ＭＳ 明朝" w:hint="eastAsia"/>
          <w:color w:val="000000"/>
          <w:kern w:val="0"/>
          <w:sz w:val="22"/>
        </w:rPr>
        <w:t>仕</w:t>
      </w:r>
      <w:r w:rsidR="00DE0F8C" w:rsidRPr="00DE0F8C">
        <w:rPr>
          <w:rFonts w:ascii="ＭＳ 明朝" w:eastAsia="ＭＳ 明朝" w:cs="ＭＳ 明朝" w:hint="eastAsia"/>
          <w:color w:val="000000"/>
          <w:kern w:val="0"/>
          <w:sz w:val="22"/>
        </w:rPr>
        <w:t>様書</w:t>
      </w:r>
    </w:p>
    <w:p w:rsidR="00DE0F8C" w:rsidRPr="00412D4D" w:rsidRDefault="00DE0F8C" w:rsidP="00DE0F8C">
      <w:pPr>
        <w:autoSpaceDE w:val="0"/>
        <w:autoSpaceDN w:val="0"/>
        <w:adjustRightInd w:val="0"/>
        <w:jc w:val="left"/>
        <w:rPr>
          <w:rFonts w:ascii="ＭＳ 明朝" w:eastAsia="ＭＳ 明朝" w:hAnsi="ＭＳ 明朝" w:cs="ＭＳ 明朝"/>
          <w:color w:val="000000"/>
          <w:kern w:val="0"/>
          <w:sz w:val="22"/>
        </w:rPr>
      </w:pPr>
    </w:p>
    <w:p w:rsidR="00DE0F8C" w:rsidRPr="00DE0F8C" w:rsidRDefault="00DE0F8C" w:rsidP="00DE0F8C">
      <w:pPr>
        <w:autoSpaceDE w:val="0"/>
        <w:autoSpaceDN w:val="0"/>
        <w:adjustRightInd w:val="0"/>
        <w:ind w:firstLineChars="100" w:firstLine="220"/>
        <w:jc w:val="left"/>
        <w:rPr>
          <w:rFonts w:ascii="ＭＳ 明朝" w:eastAsia="ＭＳ 明朝" w:hAnsi="ＭＳ 明朝" w:cs="ＭＳ 明朝"/>
          <w:color w:val="000000"/>
          <w:kern w:val="0"/>
          <w:sz w:val="22"/>
        </w:rPr>
      </w:pPr>
      <w:r w:rsidRPr="00DE0F8C">
        <w:rPr>
          <w:rFonts w:ascii="ＭＳ 明朝" w:eastAsia="ＭＳ 明朝" w:hAnsi="ＭＳ 明朝" w:cs="MS-Mincho" w:hint="eastAsia"/>
          <w:kern w:val="0"/>
          <w:sz w:val="22"/>
        </w:rPr>
        <w:t>この仕様書は、</w:t>
      </w:r>
      <w:r>
        <w:rPr>
          <w:rFonts w:ascii="ＭＳ 明朝" w:eastAsia="ＭＳ 明朝" w:hAnsi="ＭＳ 明朝" w:cs="MS-Mincho" w:hint="eastAsia"/>
          <w:kern w:val="0"/>
          <w:sz w:val="22"/>
        </w:rPr>
        <w:t>尾道市</w:t>
      </w:r>
      <w:r w:rsidRPr="00DE0F8C">
        <w:rPr>
          <w:rFonts w:ascii="ＭＳ 明朝" w:eastAsia="ＭＳ 明朝" w:hAnsi="ＭＳ 明朝" w:cs="MS-Mincho" w:hint="eastAsia"/>
          <w:kern w:val="0"/>
          <w:sz w:val="22"/>
        </w:rPr>
        <w:t>（以下「委託者」という。）が発注する</w:t>
      </w:r>
      <w:r w:rsidR="00502464">
        <w:rPr>
          <w:rFonts w:ascii="ＭＳ 明朝" w:eastAsia="ＭＳ 明朝" w:hAnsi="ＭＳ 明朝" w:cs="MS-Mincho" w:hint="eastAsia"/>
          <w:kern w:val="0"/>
          <w:sz w:val="22"/>
        </w:rPr>
        <w:t>次</w:t>
      </w:r>
      <w:r w:rsidRPr="00DE0F8C">
        <w:rPr>
          <w:rFonts w:ascii="ＭＳ 明朝" w:eastAsia="ＭＳ 明朝" w:hAnsi="ＭＳ 明朝" w:cs="MS-Mincho" w:hint="eastAsia"/>
          <w:kern w:val="0"/>
          <w:sz w:val="22"/>
        </w:rPr>
        <w:t>の業務に関して、受託者が当該業務を履行するために必要な事項を定めるものとする。</w:t>
      </w:r>
    </w:p>
    <w:p w:rsidR="00DE0F8C" w:rsidRDefault="00DE0F8C" w:rsidP="00DE0F8C">
      <w:pPr>
        <w:autoSpaceDE w:val="0"/>
        <w:autoSpaceDN w:val="0"/>
        <w:adjustRightInd w:val="0"/>
        <w:jc w:val="left"/>
        <w:rPr>
          <w:rFonts w:ascii="ＭＳ 明朝" w:eastAsia="ＭＳ 明朝" w:hAnsi="ＭＳ 明朝" w:cs="ＭＳ 明朝"/>
          <w:color w:val="000000"/>
          <w:kern w:val="0"/>
          <w:sz w:val="22"/>
        </w:rPr>
      </w:pPr>
    </w:p>
    <w:p w:rsidR="0003320B" w:rsidRDefault="0003320B" w:rsidP="00DE0F8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業務の名称</w:t>
      </w:r>
    </w:p>
    <w:p w:rsidR="0003320B" w:rsidRDefault="0003320B" w:rsidP="00DE0F8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EA2064" w:rsidRPr="00EA2064">
        <w:rPr>
          <w:rFonts w:ascii="ＭＳ 明朝" w:eastAsia="ＭＳ 明朝" w:hAnsi="ＭＳ 明朝" w:hint="eastAsia"/>
          <w:sz w:val="22"/>
        </w:rPr>
        <w:t>尾道</w:t>
      </w:r>
      <w:r w:rsidR="00EA2064" w:rsidRPr="00EA2064">
        <w:rPr>
          <w:rFonts w:ascii="ＭＳ 明朝" w:eastAsia="ＭＳ 明朝" w:hAnsi="ＭＳ 明朝"/>
          <w:sz w:val="22"/>
        </w:rPr>
        <w:t>市</w:t>
      </w:r>
      <w:r w:rsidR="00EA2064" w:rsidRPr="00EA2064">
        <w:rPr>
          <w:rFonts w:ascii="ＭＳ 明朝" w:eastAsia="ＭＳ 明朝" w:hAnsi="ＭＳ 明朝" w:hint="eastAsia"/>
          <w:sz w:val="22"/>
        </w:rPr>
        <w:t>本庁舎売店</w:t>
      </w:r>
      <w:r w:rsidR="001506D5" w:rsidRPr="001506D5">
        <w:rPr>
          <w:rFonts w:ascii="ＭＳ 明朝" w:eastAsia="ＭＳ 明朝" w:hAnsi="ＭＳ 明朝" w:hint="eastAsia"/>
          <w:sz w:val="22"/>
        </w:rPr>
        <w:t>自動釣銭機</w:t>
      </w:r>
      <w:r w:rsidR="00EA2064" w:rsidRPr="00EA2064">
        <w:rPr>
          <w:rFonts w:ascii="ＭＳ 明朝" w:eastAsia="ＭＳ 明朝" w:hAnsi="ＭＳ 明朝"/>
          <w:sz w:val="22"/>
        </w:rPr>
        <w:t>導入</w:t>
      </w:r>
      <w:r w:rsidR="00412D4D">
        <w:rPr>
          <w:rFonts w:ascii="ＭＳ 明朝" w:eastAsia="ＭＳ 明朝" w:hAnsi="ＭＳ 明朝" w:hint="eastAsia"/>
          <w:sz w:val="22"/>
        </w:rPr>
        <w:t>・管理</w:t>
      </w:r>
      <w:r w:rsidR="00A90975">
        <w:rPr>
          <w:rFonts w:ascii="ＭＳ 明朝" w:eastAsia="ＭＳ 明朝" w:hAnsi="ＭＳ 明朝" w:hint="eastAsia"/>
          <w:sz w:val="22"/>
        </w:rPr>
        <w:t>業務</w:t>
      </w:r>
    </w:p>
    <w:p w:rsidR="0003320B" w:rsidRPr="00502464" w:rsidRDefault="0003320B" w:rsidP="00DE0F8C">
      <w:pPr>
        <w:autoSpaceDE w:val="0"/>
        <w:autoSpaceDN w:val="0"/>
        <w:adjustRightInd w:val="0"/>
        <w:jc w:val="left"/>
        <w:rPr>
          <w:rFonts w:ascii="ＭＳ 明朝" w:eastAsia="ＭＳ 明朝" w:hAnsi="ＭＳ 明朝" w:cs="ＭＳ 明朝"/>
          <w:color w:val="000000"/>
          <w:kern w:val="0"/>
          <w:sz w:val="22"/>
        </w:rPr>
      </w:pPr>
    </w:p>
    <w:p w:rsidR="002D3D05" w:rsidRPr="002D3D05" w:rsidRDefault="0003320B"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ＭＳ 明朝" w:hint="eastAsia"/>
          <w:color w:val="000000"/>
          <w:kern w:val="0"/>
          <w:sz w:val="22"/>
        </w:rPr>
        <w:t xml:space="preserve">２　</w:t>
      </w:r>
      <w:r w:rsidR="002D3D05" w:rsidRPr="002D3D05">
        <w:rPr>
          <w:rFonts w:ascii="ＭＳ 明朝" w:eastAsia="ＭＳ 明朝" w:hAnsi="ＭＳ 明朝" w:cs="MS-Mincho" w:hint="eastAsia"/>
          <w:kern w:val="0"/>
          <w:sz w:val="22"/>
        </w:rPr>
        <w:t>委託期間</w:t>
      </w:r>
      <w:bookmarkStart w:id="0" w:name="_GoBack"/>
      <w:bookmarkEnd w:id="0"/>
    </w:p>
    <w:p w:rsidR="00630DF6" w:rsidRDefault="00630DF6" w:rsidP="00630DF6">
      <w:pPr>
        <w:pStyle w:val="Default"/>
        <w:rPr>
          <w:rFonts w:hAnsi="ＭＳ 明朝"/>
          <w:sz w:val="22"/>
          <w:szCs w:val="22"/>
        </w:rPr>
      </w:pPr>
      <w:r>
        <w:rPr>
          <w:rFonts w:hAnsi="ＭＳ 明朝" w:hint="eastAsia"/>
          <w:sz w:val="22"/>
          <w:szCs w:val="22"/>
        </w:rPr>
        <w:t>（１）</w:t>
      </w:r>
      <w:r w:rsidR="00105E5D">
        <w:rPr>
          <w:rFonts w:hAnsi="ＭＳ 明朝" w:hint="eastAsia"/>
          <w:sz w:val="22"/>
          <w:szCs w:val="22"/>
        </w:rPr>
        <w:t>自動釣銭機</w:t>
      </w:r>
      <w:r>
        <w:rPr>
          <w:rFonts w:hAnsi="ＭＳ 明朝" w:hint="eastAsia"/>
          <w:sz w:val="22"/>
          <w:szCs w:val="22"/>
        </w:rPr>
        <w:t>の導入及びポスシステムの設定に係る業務</w:t>
      </w:r>
    </w:p>
    <w:p w:rsidR="00630DF6" w:rsidRDefault="00630DF6" w:rsidP="00630DF6">
      <w:pPr>
        <w:pStyle w:val="Default"/>
        <w:ind w:firstLineChars="200" w:firstLine="440"/>
        <w:rPr>
          <w:rFonts w:hAnsi="ＭＳ 明朝"/>
          <w:sz w:val="22"/>
          <w:szCs w:val="22"/>
        </w:rPr>
      </w:pPr>
      <w:r>
        <w:rPr>
          <w:rFonts w:hAnsi="ＭＳ 明朝" w:hint="eastAsia"/>
          <w:sz w:val="22"/>
          <w:szCs w:val="22"/>
        </w:rPr>
        <w:t xml:space="preserve">　契約締結の日から令和７年１</w:t>
      </w:r>
      <w:r w:rsidR="000E7421">
        <w:rPr>
          <w:rFonts w:hAnsi="ＭＳ 明朝" w:hint="eastAsia"/>
          <w:sz w:val="22"/>
          <w:szCs w:val="22"/>
        </w:rPr>
        <w:t>１</w:t>
      </w:r>
      <w:r>
        <w:rPr>
          <w:rFonts w:hAnsi="ＭＳ 明朝" w:hint="eastAsia"/>
          <w:sz w:val="22"/>
          <w:szCs w:val="22"/>
        </w:rPr>
        <w:t>月２８日まで</w:t>
      </w:r>
    </w:p>
    <w:p w:rsidR="00630DF6" w:rsidRDefault="00630DF6" w:rsidP="00630DF6">
      <w:pPr>
        <w:pStyle w:val="Default"/>
        <w:rPr>
          <w:rFonts w:hAnsi="ＭＳ 明朝"/>
          <w:sz w:val="22"/>
          <w:szCs w:val="22"/>
        </w:rPr>
      </w:pPr>
      <w:r>
        <w:rPr>
          <w:rFonts w:hAnsi="ＭＳ 明朝" w:hint="eastAsia"/>
          <w:sz w:val="22"/>
          <w:szCs w:val="22"/>
        </w:rPr>
        <w:t>（２）保守管理業務</w:t>
      </w:r>
    </w:p>
    <w:p w:rsidR="00630DF6" w:rsidRDefault="00630DF6" w:rsidP="00630DF6">
      <w:pPr>
        <w:pStyle w:val="Default"/>
        <w:rPr>
          <w:rFonts w:hAnsi="ＭＳ 明朝"/>
          <w:sz w:val="22"/>
          <w:szCs w:val="22"/>
        </w:rPr>
      </w:pPr>
      <w:r>
        <w:rPr>
          <w:rFonts w:hAnsi="ＭＳ 明朝" w:hint="eastAsia"/>
          <w:sz w:val="22"/>
          <w:szCs w:val="22"/>
        </w:rPr>
        <w:t xml:space="preserve">　　　令和８年４月１日から令和１３年３月３１日（６０</w:t>
      </w:r>
      <w:r w:rsidRPr="00066884">
        <w:rPr>
          <w:rFonts w:hAnsi="ＭＳ 明朝" w:hint="eastAsia"/>
          <w:sz w:val="22"/>
          <w:szCs w:val="22"/>
        </w:rPr>
        <w:t>ヶ月</w:t>
      </w:r>
      <w:r>
        <w:rPr>
          <w:rFonts w:hAnsi="ＭＳ 明朝" w:hint="eastAsia"/>
          <w:sz w:val="22"/>
          <w:szCs w:val="22"/>
        </w:rPr>
        <w:t>）</w:t>
      </w:r>
    </w:p>
    <w:p w:rsidR="00630DF6" w:rsidRDefault="00630DF6" w:rsidP="00630DF6">
      <w:pPr>
        <w:pStyle w:val="Default"/>
        <w:rPr>
          <w:rFonts w:hAnsi="ＭＳ 明朝"/>
          <w:sz w:val="22"/>
          <w:szCs w:val="22"/>
        </w:rPr>
      </w:pPr>
      <w:r>
        <w:rPr>
          <w:rFonts w:hAnsi="ＭＳ 明朝" w:hint="eastAsia"/>
          <w:sz w:val="22"/>
          <w:szCs w:val="22"/>
        </w:rPr>
        <w:t xml:space="preserve">　　※　ただし、契約は単年度とし、６０</w:t>
      </w:r>
      <w:r w:rsidRPr="00066884">
        <w:rPr>
          <w:rFonts w:hAnsi="ＭＳ 明朝" w:hint="eastAsia"/>
          <w:sz w:val="22"/>
          <w:szCs w:val="22"/>
        </w:rPr>
        <w:t>ヶ月</w:t>
      </w:r>
      <w:r>
        <w:rPr>
          <w:rFonts w:hAnsi="ＭＳ 明朝" w:hint="eastAsia"/>
          <w:sz w:val="22"/>
          <w:szCs w:val="22"/>
        </w:rPr>
        <w:t>の契約を保証するものではない。</w:t>
      </w:r>
    </w:p>
    <w:p w:rsidR="002D3D05" w:rsidRPr="00630DF6" w:rsidRDefault="002D3D05" w:rsidP="002D3D05">
      <w:pPr>
        <w:autoSpaceDE w:val="0"/>
        <w:autoSpaceDN w:val="0"/>
        <w:adjustRightInd w:val="0"/>
        <w:jc w:val="left"/>
        <w:rPr>
          <w:rFonts w:ascii="ＭＳ 明朝" w:eastAsia="ＭＳ 明朝" w:hAnsi="ＭＳ 明朝" w:cs="MS-Mincho"/>
          <w:kern w:val="0"/>
          <w:sz w:val="22"/>
        </w:rPr>
      </w:pPr>
    </w:p>
    <w:p w:rsidR="0003320B" w:rsidRDefault="0003320B"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３　</w:t>
      </w:r>
      <w:r w:rsidR="00630DF6">
        <w:rPr>
          <w:rFonts w:ascii="ＭＳ 明朝" w:eastAsia="ＭＳ 明朝" w:hAnsi="ＭＳ 明朝" w:cs="MS-Mincho" w:hint="eastAsia"/>
          <w:kern w:val="0"/>
          <w:sz w:val="22"/>
        </w:rPr>
        <w:t>導入場所及び</w:t>
      </w:r>
      <w:r w:rsidR="002A56E9">
        <w:rPr>
          <w:rFonts w:ascii="ＭＳ 明朝" w:eastAsia="ＭＳ 明朝" w:hAnsi="ＭＳ 明朝" w:cs="MS-Mincho" w:hint="eastAsia"/>
          <w:kern w:val="0"/>
          <w:sz w:val="22"/>
        </w:rPr>
        <w:t>設置機器</w:t>
      </w:r>
      <w:r w:rsidR="00630DF6">
        <w:rPr>
          <w:rFonts w:ascii="ＭＳ 明朝" w:eastAsia="ＭＳ 明朝" w:hAnsi="ＭＳ 明朝" w:cs="MS-Mincho" w:hint="eastAsia"/>
          <w:kern w:val="0"/>
          <w:sz w:val="22"/>
        </w:rPr>
        <w:t>数</w:t>
      </w:r>
    </w:p>
    <w:p w:rsidR="00630DF6" w:rsidRPr="00630DF6" w:rsidRDefault="00630DF6" w:rsidP="00630DF6">
      <w:pPr>
        <w:autoSpaceDE w:val="0"/>
        <w:autoSpaceDN w:val="0"/>
        <w:adjustRightInd w:val="0"/>
        <w:ind w:firstLineChars="200" w:firstLine="440"/>
        <w:jc w:val="left"/>
        <w:rPr>
          <w:rFonts w:ascii="ＭＳ 明朝" w:eastAsia="ＭＳ 明朝" w:hAnsi="ＭＳ 明朝" w:cs="MS-Mincho"/>
          <w:kern w:val="0"/>
          <w:sz w:val="22"/>
        </w:rPr>
      </w:pPr>
      <w:r w:rsidRPr="00630DF6">
        <w:rPr>
          <w:rFonts w:ascii="ＭＳ 明朝" w:eastAsia="ＭＳ 明朝" w:hAnsi="ＭＳ 明朝" w:hint="eastAsia"/>
          <w:sz w:val="22"/>
        </w:rPr>
        <w:t>尾道市役所本庁舎売店</w:t>
      </w:r>
      <w:r>
        <w:rPr>
          <w:rFonts w:ascii="ＭＳ 明朝" w:eastAsia="ＭＳ 明朝" w:hAnsi="ＭＳ 明朝" w:hint="eastAsia"/>
          <w:sz w:val="22"/>
        </w:rPr>
        <w:t xml:space="preserve">　　　１台</w:t>
      </w:r>
    </w:p>
    <w:p w:rsidR="00630DF6" w:rsidRPr="00630DF6" w:rsidRDefault="00630DF6" w:rsidP="00630DF6">
      <w:pPr>
        <w:autoSpaceDE w:val="0"/>
        <w:autoSpaceDN w:val="0"/>
        <w:adjustRightInd w:val="0"/>
        <w:ind w:firstLineChars="200" w:firstLine="440"/>
        <w:jc w:val="left"/>
        <w:rPr>
          <w:rFonts w:ascii="ＭＳ 明朝" w:eastAsia="ＭＳ 明朝" w:hAnsi="ＭＳ 明朝" w:cs="MS-Mincho"/>
          <w:kern w:val="0"/>
          <w:sz w:val="22"/>
        </w:rPr>
      </w:pPr>
      <w:r w:rsidRPr="00630DF6">
        <w:rPr>
          <w:rFonts w:ascii="ＭＳ 明朝" w:eastAsia="ＭＳ 明朝" w:hAnsi="ＭＳ 明朝" w:hint="eastAsia"/>
          <w:sz w:val="22"/>
        </w:rPr>
        <w:t>（尾道市久保一丁目１５番１号）</w:t>
      </w:r>
    </w:p>
    <w:p w:rsidR="00630DF6" w:rsidRDefault="00630DF6" w:rsidP="002D3D05">
      <w:pPr>
        <w:autoSpaceDE w:val="0"/>
        <w:autoSpaceDN w:val="0"/>
        <w:adjustRightInd w:val="0"/>
        <w:jc w:val="left"/>
        <w:rPr>
          <w:rFonts w:ascii="ＭＳ 明朝" w:eastAsia="ＭＳ 明朝" w:hAnsi="ＭＳ 明朝" w:cs="MS-Mincho"/>
          <w:kern w:val="0"/>
          <w:sz w:val="22"/>
        </w:rPr>
      </w:pPr>
    </w:p>
    <w:p w:rsidR="0003320B" w:rsidRDefault="00DA4F96"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４　</w:t>
      </w:r>
      <w:r w:rsidR="007D7CF7">
        <w:rPr>
          <w:rFonts w:ascii="ＭＳ 明朝" w:eastAsia="ＭＳ 明朝" w:hAnsi="ＭＳ 明朝" w:cs="MS-Mincho" w:hint="eastAsia"/>
          <w:kern w:val="0"/>
          <w:sz w:val="22"/>
        </w:rPr>
        <w:t>自動釣銭機</w:t>
      </w:r>
      <w:r w:rsidR="00C56BB0">
        <w:rPr>
          <w:rFonts w:ascii="ＭＳ 明朝" w:eastAsia="ＭＳ 明朝" w:hAnsi="ＭＳ 明朝" w:cs="MS-Mincho" w:hint="eastAsia"/>
          <w:kern w:val="0"/>
          <w:sz w:val="22"/>
        </w:rPr>
        <w:t>等</w:t>
      </w:r>
      <w:r w:rsidR="007D7CF7">
        <w:rPr>
          <w:rFonts w:ascii="ＭＳ 明朝" w:eastAsia="ＭＳ 明朝" w:hAnsi="ＭＳ 明朝" w:cs="MS-Mincho" w:hint="eastAsia"/>
          <w:kern w:val="0"/>
          <w:sz w:val="22"/>
        </w:rPr>
        <w:t>の</w:t>
      </w:r>
      <w:r w:rsidR="00FD0021">
        <w:rPr>
          <w:rFonts w:ascii="ＭＳ 明朝" w:eastAsia="ＭＳ 明朝" w:hAnsi="ＭＳ 明朝" w:cs="MS-Mincho" w:hint="eastAsia"/>
          <w:kern w:val="0"/>
          <w:sz w:val="22"/>
        </w:rPr>
        <w:t>仕様</w:t>
      </w:r>
    </w:p>
    <w:p w:rsidR="00BF54BD" w:rsidRDefault="00BF54BD"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（１）自動釣銭機</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826"/>
      </w:tblGrid>
      <w:tr w:rsidR="00FD0021" w:rsidTr="007D7CF7">
        <w:trPr>
          <w:trHeight w:val="339"/>
        </w:trPr>
        <w:tc>
          <w:tcPr>
            <w:tcW w:w="2079" w:type="dxa"/>
          </w:tcPr>
          <w:p w:rsidR="00FD0021" w:rsidRDefault="00FD0021" w:rsidP="0019221A">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区</w:t>
            </w:r>
            <w:r w:rsidR="0019221A">
              <w:rPr>
                <w:rFonts w:ascii="ＭＳ 明朝" w:eastAsia="ＭＳ 明朝" w:hAnsi="ＭＳ 明朝" w:cs="MS-Mincho" w:hint="eastAsia"/>
                <w:kern w:val="0"/>
                <w:sz w:val="22"/>
              </w:rPr>
              <w:t xml:space="preserve">　　</w:t>
            </w:r>
            <w:r>
              <w:rPr>
                <w:rFonts w:ascii="ＭＳ 明朝" w:eastAsia="ＭＳ 明朝" w:hAnsi="ＭＳ 明朝" w:cs="MS-Mincho" w:hint="eastAsia"/>
                <w:kern w:val="0"/>
                <w:sz w:val="22"/>
              </w:rPr>
              <w:t>分</w:t>
            </w:r>
          </w:p>
        </w:tc>
        <w:tc>
          <w:tcPr>
            <w:tcW w:w="6826" w:type="dxa"/>
          </w:tcPr>
          <w:p w:rsidR="00FD0021" w:rsidRDefault="00FD0021" w:rsidP="0019221A">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内</w:t>
            </w:r>
            <w:r w:rsidR="0019221A">
              <w:rPr>
                <w:rFonts w:ascii="ＭＳ 明朝" w:eastAsia="ＭＳ 明朝" w:hAnsi="ＭＳ 明朝" w:cs="MS-Mincho" w:hint="eastAsia"/>
                <w:kern w:val="0"/>
                <w:sz w:val="22"/>
              </w:rPr>
              <w:t xml:space="preserve">　　　　</w:t>
            </w:r>
            <w:r>
              <w:rPr>
                <w:rFonts w:ascii="ＭＳ 明朝" w:eastAsia="ＭＳ 明朝" w:hAnsi="ＭＳ 明朝" w:cs="MS-Mincho" w:hint="eastAsia"/>
                <w:kern w:val="0"/>
                <w:sz w:val="22"/>
              </w:rPr>
              <w:t>容</w:t>
            </w:r>
          </w:p>
        </w:tc>
      </w:tr>
      <w:tr w:rsidR="007D7CF7" w:rsidTr="007D7CF7">
        <w:trPr>
          <w:trHeight w:val="507"/>
        </w:trPr>
        <w:tc>
          <w:tcPr>
            <w:tcW w:w="2079" w:type="dxa"/>
          </w:tcPr>
          <w:p w:rsidR="007D7CF7" w:rsidRDefault="007D7CF7" w:rsidP="007D7CF7">
            <w:pPr>
              <w:autoSpaceDE w:val="0"/>
              <w:autoSpaceDN w:val="0"/>
              <w:adjustRightInd w:val="0"/>
              <w:rPr>
                <w:rFonts w:ascii="ＭＳ 明朝" w:eastAsia="ＭＳ 明朝" w:hAnsi="ＭＳ 明朝" w:cs="MS-Mincho"/>
                <w:kern w:val="0"/>
                <w:sz w:val="22"/>
              </w:rPr>
            </w:pPr>
            <w:r>
              <w:rPr>
                <w:rFonts w:ascii="ＭＳ 明朝" w:eastAsia="ＭＳ 明朝" w:hAnsi="ＭＳ 明朝" w:cs="MS-Mincho" w:hint="eastAsia"/>
                <w:kern w:val="0"/>
                <w:sz w:val="22"/>
              </w:rPr>
              <w:t>ポスシステム</w:t>
            </w:r>
            <w:r w:rsidR="001506D5">
              <w:rPr>
                <w:rFonts w:ascii="ＭＳ 明朝" w:eastAsia="ＭＳ 明朝" w:hAnsi="ＭＳ 明朝" w:cs="MS-Mincho" w:hint="eastAsia"/>
                <w:kern w:val="0"/>
                <w:sz w:val="22"/>
              </w:rPr>
              <w:t>との連動</w:t>
            </w:r>
          </w:p>
        </w:tc>
        <w:tc>
          <w:tcPr>
            <w:tcW w:w="6826" w:type="dxa"/>
          </w:tcPr>
          <w:p w:rsidR="007D7CF7" w:rsidRDefault="001E1EED" w:rsidP="007D7CF7">
            <w:pPr>
              <w:autoSpaceDE w:val="0"/>
              <w:autoSpaceDN w:val="0"/>
              <w:adjustRightInd w:val="0"/>
              <w:rPr>
                <w:rFonts w:ascii="ＭＳ 明朝" w:eastAsia="ＭＳ 明朝" w:hAnsi="ＭＳ 明朝" w:cs="MS-Mincho"/>
                <w:kern w:val="0"/>
                <w:sz w:val="22"/>
              </w:rPr>
            </w:pPr>
            <w:r>
              <w:rPr>
                <w:rFonts w:ascii="ＭＳ 明朝" w:eastAsia="ＭＳ 明朝" w:hAnsi="ＭＳ 明朝" w:cs="MS-Mincho" w:hint="eastAsia"/>
                <w:kern w:val="0"/>
                <w:sz w:val="22"/>
              </w:rPr>
              <w:t>・</w:t>
            </w:r>
            <w:r w:rsidR="007D7CF7">
              <w:rPr>
                <w:rFonts w:ascii="ＭＳ 明朝" w:eastAsia="ＭＳ 明朝" w:hAnsi="ＭＳ 明朝" w:cs="MS-Mincho" w:hint="eastAsia"/>
                <w:kern w:val="0"/>
                <w:sz w:val="22"/>
              </w:rPr>
              <w:t>既存のポスシステム東芝テック㈱のWILLPOS-Touch（QT-20）</w:t>
            </w:r>
            <w:r>
              <w:rPr>
                <w:rFonts w:ascii="ＭＳ 明朝" w:eastAsia="ＭＳ 明朝" w:hAnsi="ＭＳ 明朝" w:cs="MS-Mincho" w:hint="eastAsia"/>
                <w:kern w:val="0"/>
                <w:sz w:val="22"/>
              </w:rPr>
              <w:t xml:space="preserve">、専門店物販POSシステム（Shop </w:t>
            </w:r>
            <w:r>
              <w:rPr>
                <w:rFonts w:ascii="ＭＳ 明朝" w:eastAsia="ＭＳ 明朝" w:hAnsi="ＭＳ 明朝" w:cs="MS-Mincho"/>
                <w:kern w:val="0"/>
                <w:sz w:val="22"/>
              </w:rPr>
              <w:t>Works 7G</w:t>
            </w:r>
            <w:r>
              <w:rPr>
                <w:rFonts w:ascii="ＭＳ 明朝" w:eastAsia="ＭＳ 明朝" w:hAnsi="ＭＳ 明朝" w:cs="MS-Mincho" w:hint="eastAsia"/>
                <w:kern w:val="0"/>
                <w:sz w:val="22"/>
              </w:rPr>
              <w:t>）</w:t>
            </w:r>
            <w:r w:rsidR="007D7CF7">
              <w:rPr>
                <w:rFonts w:ascii="ＭＳ 明朝" w:eastAsia="ＭＳ 明朝" w:hAnsi="ＭＳ 明朝" w:cs="MS-Mincho" w:hint="eastAsia"/>
                <w:kern w:val="0"/>
                <w:sz w:val="22"/>
              </w:rPr>
              <w:t>と接続可能</w:t>
            </w:r>
            <w:r w:rsidR="00940E07">
              <w:rPr>
                <w:rFonts w:ascii="ＭＳ 明朝" w:eastAsia="ＭＳ 明朝" w:hAnsi="ＭＳ 明朝" w:cs="MS-Mincho" w:hint="eastAsia"/>
                <w:kern w:val="0"/>
                <w:sz w:val="22"/>
              </w:rPr>
              <w:t>な機種</w:t>
            </w:r>
            <w:r w:rsidR="007D7CF7">
              <w:rPr>
                <w:rFonts w:ascii="ＭＳ 明朝" w:eastAsia="ＭＳ 明朝" w:hAnsi="ＭＳ 明朝" w:cs="MS-Mincho" w:hint="eastAsia"/>
                <w:kern w:val="0"/>
                <w:sz w:val="22"/>
              </w:rPr>
              <w:t>であること。</w:t>
            </w:r>
          </w:p>
          <w:p w:rsidR="001E1EED" w:rsidRPr="001E1EED" w:rsidRDefault="001E1EED" w:rsidP="00940E07">
            <w:pPr>
              <w:autoSpaceDE w:val="0"/>
              <w:autoSpaceDN w:val="0"/>
              <w:adjustRightInd w:val="0"/>
              <w:rPr>
                <w:rFonts w:ascii="ＭＳ 明朝" w:eastAsia="ＭＳ 明朝" w:hAnsi="ＭＳ 明朝" w:cs="MS-Mincho"/>
                <w:kern w:val="0"/>
                <w:sz w:val="22"/>
              </w:rPr>
            </w:pPr>
            <w:r>
              <w:rPr>
                <w:rFonts w:ascii="ＭＳ 明朝" w:eastAsia="ＭＳ 明朝" w:hAnsi="ＭＳ 明朝" w:cs="MS-Mincho" w:hint="eastAsia"/>
                <w:kern w:val="0"/>
                <w:sz w:val="22"/>
              </w:rPr>
              <w:t>・自動釣銭機を接続し、入金確定仕様で運用できるよう設定</w:t>
            </w:r>
            <w:r w:rsidR="00940E07">
              <w:rPr>
                <w:rFonts w:ascii="ＭＳ 明朝" w:eastAsia="ＭＳ 明朝" w:hAnsi="ＭＳ 明朝" w:cs="MS-Mincho" w:hint="eastAsia"/>
                <w:kern w:val="0"/>
                <w:sz w:val="22"/>
              </w:rPr>
              <w:t>が可能である</w:t>
            </w:r>
            <w:r>
              <w:rPr>
                <w:rFonts w:ascii="ＭＳ 明朝" w:eastAsia="ＭＳ 明朝" w:hAnsi="ＭＳ 明朝" w:cs="MS-Mincho" w:hint="eastAsia"/>
                <w:kern w:val="0"/>
                <w:sz w:val="22"/>
              </w:rPr>
              <w:t>こと。（専門店物販POSシステムの再セットアップが必要）</w:t>
            </w:r>
          </w:p>
        </w:tc>
      </w:tr>
      <w:tr w:rsidR="00FD0021" w:rsidTr="007D7CF7">
        <w:trPr>
          <w:trHeight w:val="305"/>
        </w:trPr>
        <w:tc>
          <w:tcPr>
            <w:tcW w:w="2079" w:type="dxa"/>
          </w:tcPr>
          <w:p w:rsidR="00FD0021" w:rsidRDefault="00FD0021"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形態</w:t>
            </w:r>
          </w:p>
        </w:tc>
        <w:tc>
          <w:tcPr>
            <w:tcW w:w="6826" w:type="dxa"/>
          </w:tcPr>
          <w:p w:rsidR="00FD0021" w:rsidRDefault="00FD0021"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硬貨・紙幣両方に対応していること。</w:t>
            </w:r>
          </w:p>
        </w:tc>
      </w:tr>
      <w:tr w:rsidR="00FD0021" w:rsidTr="007D7CF7">
        <w:trPr>
          <w:trHeight w:val="357"/>
        </w:trPr>
        <w:tc>
          <w:tcPr>
            <w:tcW w:w="2079" w:type="dxa"/>
          </w:tcPr>
          <w:p w:rsidR="00FD0021" w:rsidRDefault="00FD0021"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紙幣収納枚数</w:t>
            </w:r>
          </w:p>
        </w:tc>
        <w:tc>
          <w:tcPr>
            <w:tcW w:w="6826" w:type="dxa"/>
          </w:tcPr>
          <w:p w:rsidR="00FD0021" w:rsidRDefault="00FD0021"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10,000円　　100枚以上</w:t>
            </w:r>
          </w:p>
          <w:p w:rsidR="00FD0021" w:rsidRDefault="00FD0021" w:rsidP="001E1EED">
            <w:pPr>
              <w:autoSpaceDE w:val="0"/>
              <w:autoSpaceDN w:val="0"/>
              <w:adjustRightInd w:val="0"/>
              <w:ind w:firstLineChars="50" w:firstLine="110"/>
              <w:jc w:val="left"/>
              <w:rPr>
                <w:rFonts w:ascii="ＭＳ 明朝" w:eastAsia="ＭＳ 明朝" w:hAnsi="ＭＳ 明朝" w:cs="MS-Mincho"/>
                <w:kern w:val="0"/>
                <w:sz w:val="22"/>
              </w:rPr>
            </w:pPr>
            <w:r>
              <w:rPr>
                <w:rFonts w:ascii="ＭＳ 明朝" w:eastAsia="ＭＳ 明朝" w:hAnsi="ＭＳ 明朝" w:cs="MS-Mincho" w:hint="eastAsia"/>
                <w:kern w:val="0"/>
                <w:sz w:val="22"/>
              </w:rPr>
              <w:t>5,000円　　100枚以上</w:t>
            </w:r>
          </w:p>
          <w:p w:rsidR="00FD0021" w:rsidRDefault="00FD0021" w:rsidP="001E1EED">
            <w:pPr>
              <w:autoSpaceDE w:val="0"/>
              <w:autoSpaceDN w:val="0"/>
              <w:adjustRightInd w:val="0"/>
              <w:ind w:firstLineChars="50" w:firstLine="11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1,000円　　</w:t>
            </w:r>
            <w:r w:rsidR="001E1EED">
              <w:rPr>
                <w:rFonts w:ascii="ＭＳ 明朝" w:eastAsia="ＭＳ 明朝" w:hAnsi="ＭＳ 明朝" w:cs="MS-Mincho" w:hint="eastAsia"/>
                <w:kern w:val="0"/>
                <w:sz w:val="22"/>
              </w:rPr>
              <w:t>2</w:t>
            </w:r>
            <w:r>
              <w:rPr>
                <w:rFonts w:ascii="ＭＳ 明朝" w:eastAsia="ＭＳ 明朝" w:hAnsi="ＭＳ 明朝" w:cs="MS-Mincho" w:hint="eastAsia"/>
                <w:kern w:val="0"/>
                <w:sz w:val="22"/>
              </w:rPr>
              <w:t>00枚以上</w:t>
            </w:r>
          </w:p>
        </w:tc>
      </w:tr>
      <w:tr w:rsidR="00FD0021" w:rsidTr="007D7CF7">
        <w:trPr>
          <w:trHeight w:val="368"/>
        </w:trPr>
        <w:tc>
          <w:tcPr>
            <w:tcW w:w="2079" w:type="dxa"/>
          </w:tcPr>
          <w:p w:rsidR="00FD0021" w:rsidRDefault="000F32D0"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硬貨収納枚数</w:t>
            </w:r>
          </w:p>
        </w:tc>
        <w:tc>
          <w:tcPr>
            <w:tcW w:w="6826" w:type="dxa"/>
          </w:tcPr>
          <w:p w:rsidR="00FD0021" w:rsidRDefault="000F32D0"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100円、10円、1円　　150枚以上</w:t>
            </w:r>
          </w:p>
          <w:p w:rsidR="000F32D0" w:rsidRDefault="000F32D0"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500円、50円、5円　　100枚以上</w:t>
            </w:r>
          </w:p>
        </w:tc>
      </w:tr>
      <w:tr w:rsidR="00FD0021" w:rsidTr="007D7CF7">
        <w:trPr>
          <w:trHeight w:val="403"/>
        </w:trPr>
        <w:tc>
          <w:tcPr>
            <w:tcW w:w="2079" w:type="dxa"/>
          </w:tcPr>
          <w:p w:rsidR="00FD0021" w:rsidRDefault="000F32D0"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2,000円札</w:t>
            </w:r>
          </w:p>
        </w:tc>
        <w:tc>
          <w:tcPr>
            <w:tcW w:w="6826" w:type="dxa"/>
          </w:tcPr>
          <w:p w:rsidR="00183B56" w:rsidRDefault="000F32D0"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お札として認識可能なこと。</w:t>
            </w:r>
          </w:p>
          <w:p w:rsidR="00FD0021" w:rsidRDefault="000F32D0"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（釣銭としては利用しなくても良い。）</w:t>
            </w:r>
          </w:p>
        </w:tc>
      </w:tr>
      <w:tr w:rsidR="00FD0021" w:rsidTr="007D7CF7">
        <w:trPr>
          <w:trHeight w:val="334"/>
        </w:trPr>
        <w:tc>
          <w:tcPr>
            <w:tcW w:w="2079" w:type="dxa"/>
          </w:tcPr>
          <w:p w:rsidR="00FD0021" w:rsidRDefault="00394015"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新札対応</w:t>
            </w:r>
          </w:p>
        </w:tc>
        <w:tc>
          <w:tcPr>
            <w:tcW w:w="6826" w:type="dxa"/>
          </w:tcPr>
          <w:p w:rsidR="00FD0021" w:rsidRDefault="00394015"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令和６年７月の新紙幣</w:t>
            </w:r>
            <w:r w:rsidRPr="002D3D05">
              <w:rPr>
                <w:rFonts w:ascii="ＭＳ 明朝" w:eastAsia="ＭＳ 明朝" w:hAnsi="ＭＳ 明朝" w:cs="MS-Mincho" w:hint="eastAsia"/>
                <w:kern w:val="0"/>
                <w:sz w:val="22"/>
              </w:rPr>
              <w:t>に</w:t>
            </w:r>
            <w:r>
              <w:rPr>
                <w:rFonts w:ascii="ＭＳ 明朝" w:eastAsia="ＭＳ 明朝" w:hAnsi="ＭＳ 明朝" w:cs="MS-Mincho" w:hint="eastAsia"/>
                <w:kern w:val="0"/>
                <w:sz w:val="22"/>
              </w:rPr>
              <w:t>も</w:t>
            </w:r>
            <w:r w:rsidRPr="002D3D05">
              <w:rPr>
                <w:rFonts w:ascii="ＭＳ 明朝" w:eastAsia="ＭＳ 明朝" w:hAnsi="ＭＳ 明朝" w:cs="MS-Mincho" w:hint="eastAsia"/>
                <w:kern w:val="0"/>
                <w:sz w:val="22"/>
              </w:rPr>
              <w:t>対応できること</w:t>
            </w:r>
            <w:r>
              <w:rPr>
                <w:rFonts w:ascii="ＭＳ 明朝" w:eastAsia="ＭＳ 明朝" w:hAnsi="ＭＳ 明朝" w:cs="MS-Mincho" w:hint="eastAsia"/>
                <w:kern w:val="0"/>
                <w:sz w:val="22"/>
              </w:rPr>
              <w:t>。</w:t>
            </w:r>
          </w:p>
        </w:tc>
      </w:tr>
      <w:tr w:rsidR="00FD0021" w:rsidTr="007D7CF7">
        <w:trPr>
          <w:trHeight w:val="380"/>
        </w:trPr>
        <w:tc>
          <w:tcPr>
            <w:tcW w:w="2079" w:type="dxa"/>
          </w:tcPr>
          <w:p w:rsidR="00FD0021" w:rsidRDefault="00394015"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入金速度</w:t>
            </w:r>
          </w:p>
          <w:p w:rsidR="00394015" w:rsidRDefault="00394015" w:rsidP="002D3D05">
            <w:pPr>
              <w:autoSpaceDE w:val="0"/>
              <w:autoSpaceDN w:val="0"/>
              <w:adjustRightInd w:val="0"/>
              <w:jc w:val="left"/>
              <w:rPr>
                <w:rFonts w:ascii="ＭＳ 明朝" w:eastAsia="ＭＳ 明朝" w:hAnsi="ＭＳ 明朝" w:cs="MS-Mincho"/>
                <w:kern w:val="0"/>
                <w:sz w:val="22"/>
              </w:rPr>
            </w:pPr>
          </w:p>
        </w:tc>
        <w:tc>
          <w:tcPr>
            <w:tcW w:w="6826" w:type="dxa"/>
          </w:tcPr>
          <w:p w:rsidR="00FD0021" w:rsidRDefault="00394015"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硬貨６枚/秒</w:t>
            </w:r>
          </w:p>
          <w:p w:rsidR="00394015" w:rsidRDefault="00394015" w:rsidP="001E1EED">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紙幣</w:t>
            </w:r>
            <w:r w:rsidR="001E1EED">
              <w:rPr>
                <w:rFonts w:ascii="ＭＳ 明朝" w:eastAsia="ＭＳ 明朝" w:hAnsi="ＭＳ 明朝" w:cs="MS-Mincho" w:hint="eastAsia"/>
                <w:kern w:val="0"/>
                <w:sz w:val="22"/>
              </w:rPr>
              <w:t>２.５</w:t>
            </w:r>
            <w:r>
              <w:rPr>
                <w:rFonts w:ascii="ＭＳ 明朝" w:eastAsia="ＭＳ 明朝" w:hAnsi="ＭＳ 明朝" w:cs="MS-Mincho" w:hint="eastAsia"/>
                <w:kern w:val="0"/>
                <w:sz w:val="22"/>
              </w:rPr>
              <w:t>枚/秒</w:t>
            </w:r>
          </w:p>
        </w:tc>
      </w:tr>
      <w:tr w:rsidR="00394015" w:rsidTr="007D7CF7">
        <w:trPr>
          <w:trHeight w:val="346"/>
        </w:trPr>
        <w:tc>
          <w:tcPr>
            <w:tcW w:w="2079" w:type="dxa"/>
          </w:tcPr>
          <w:p w:rsidR="00394015" w:rsidRDefault="00394015" w:rsidP="0019221A">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操作性</w:t>
            </w:r>
          </w:p>
        </w:tc>
        <w:tc>
          <w:tcPr>
            <w:tcW w:w="6826" w:type="dxa"/>
          </w:tcPr>
          <w:p w:rsidR="00394015" w:rsidRDefault="00394015"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入金位置・出金位置がＬＥＤライトなどで分かりやすいこと。</w:t>
            </w:r>
          </w:p>
        </w:tc>
      </w:tr>
      <w:tr w:rsidR="00394015" w:rsidTr="007D7CF7">
        <w:trPr>
          <w:trHeight w:val="380"/>
        </w:trPr>
        <w:tc>
          <w:tcPr>
            <w:tcW w:w="2079" w:type="dxa"/>
          </w:tcPr>
          <w:p w:rsidR="00394015" w:rsidRDefault="00394015"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500円硬貨</w:t>
            </w:r>
          </w:p>
        </w:tc>
        <w:tc>
          <w:tcPr>
            <w:tcW w:w="6826" w:type="dxa"/>
          </w:tcPr>
          <w:p w:rsidR="00394015" w:rsidRDefault="00394015"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令和３年発行の「五百円バイカラー・グラッド貨幣」及び平成１２年発行の「五百円ニッケル黄銅貨幣」が使用できること。</w:t>
            </w:r>
          </w:p>
        </w:tc>
      </w:tr>
      <w:tr w:rsidR="00394015" w:rsidTr="007D7CF7">
        <w:trPr>
          <w:trHeight w:val="345"/>
        </w:trPr>
        <w:tc>
          <w:tcPr>
            <w:tcW w:w="2079" w:type="dxa"/>
          </w:tcPr>
          <w:p w:rsidR="00394015" w:rsidRDefault="00394015"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消費電力</w:t>
            </w:r>
          </w:p>
        </w:tc>
        <w:tc>
          <w:tcPr>
            <w:tcW w:w="6826" w:type="dxa"/>
          </w:tcPr>
          <w:p w:rsidR="00394015" w:rsidRDefault="00394015" w:rsidP="001E1EED">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最大1</w:t>
            </w:r>
            <w:r w:rsidR="001E1EED">
              <w:rPr>
                <w:rFonts w:ascii="ＭＳ 明朝" w:eastAsia="ＭＳ 明朝" w:hAnsi="ＭＳ 明朝" w:cs="MS-Mincho" w:hint="eastAsia"/>
                <w:kern w:val="0"/>
                <w:sz w:val="22"/>
              </w:rPr>
              <w:t>4</w:t>
            </w:r>
            <w:r>
              <w:rPr>
                <w:rFonts w:ascii="ＭＳ 明朝" w:eastAsia="ＭＳ 明朝" w:hAnsi="ＭＳ 明朝" w:cs="MS-Mincho" w:hint="eastAsia"/>
                <w:kern w:val="0"/>
                <w:sz w:val="22"/>
              </w:rPr>
              <w:t>0</w:t>
            </w:r>
            <w:r>
              <w:rPr>
                <w:rFonts w:ascii="ＭＳ 明朝" w:eastAsia="ＭＳ 明朝" w:hAnsi="ＭＳ 明朝" w:cs="MS-Mincho"/>
                <w:kern w:val="0"/>
                <w:sz w:val="22"/>
              </w:rPr>
              <w:t>W</w:t>
            </w:r>
            <w:r>
              <w:rPr>
                <w:rFonts w:ascii="ＭＳ 明朝" w:eastAsia="ＭＳ 明朝" w:hAnsi="ＭＳ 明朝" w:cs="MS-Mincho" w:hint="eastAsia"/>
                <w:kern w:val="0"/>
                <w:sz w:val="22"/>
              </w:rPr>
              <w:t>以下</w:t>
            </w:r>
          </w:p>
        </w:tc>
      </w:tr>
      <w:tr w:rsidR="00394015" w:rsidTr="007D7CF7">
        <w:trPr>
          <w:trHeight w:val="301"/>
        </w:trPr>
        <w:tc>
          <w:tcPr>
            <w:tcW w:w="2079" w:type="dxa"/>
          </w:tcPr>
          <w:p w:rsidR="00394015" w:rsidRDefault="00394015"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電源</w:t>
            </w:r>
          </w:p>
        </w:tc>
        <w:tc>
          <w:tcPr>
            <w:tcW w:w="6826" w:type="dxa"/>
          </w:tcPr>
          <w:p w:rsidR="00394015" w:rsidRDefault="00394015" w:rsidP="0039401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AC100V（硬貨・紙幣各１個）</w:t>
            </w:r>
          </w:p>
        </w:tc>
      </w:tr>
    </w:tbl>
    <w:p w:rsidR="00FD0021" w:rsidRDefault="00BF54BD"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（２）</w:t>
      </w:r>
      <w:r w:rsidR="007D7CF7">
        <w:rPr>
          <w:rFonts w:ascii="ＭＳ 明朝" w:eastAsia="ＭＳ 明朝" w:hAnsi="ＭＳ 明朝" w:cs="MS-Mincho" w:hint="eastAsia"/>
          <w:kern w:val="0"/>
          <w:sz w:val="22"/>
        </w:rPr>
        <w:t>付属品</w:t>
      </w:r>
    </w:p>
    <w:p w:rsidR="007D7CF7" w:rsidRDefault="007D7CF7"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自動釣銭機専用のコイントレー及びバックカバーを導入すること。</w:t>
      </w:r>
    </w:p>
    <w:p w:rsidR="00FD0021" w:rsidRDefault="007D7CF7"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（３）参考機種</w:t>
      </w:r>
    </w:p>
    <w:p w:rsidR="007D7CF7" w:rsidRDefault="007D7CF7" w:rsidP="001E1EED">
      <w:pPr>
        <w:autoSpaceDE w:val="0"/>
        <w:autoSpaceDN w:val="0"/>
        <w:adjustRightInd w:val="0"/>
        <w:ind w:left="660" w:hangingChars="300" w:hanging="66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001E1EED">
        <w:rPr>
          <w:rFonts w:ascii="ＭＳ 明朝" w:eastAsia="ＭＳ 明朝" w:hAnsi="ＭＳ 明朝" w:cs="MS-Mincho" w:hint="eastAsia"/>
          <w:kern w:val="0"/>
          <w:sz w:val="22"/>
        </w:rPr>
        <w:t>・</w:t>
      </w:r>
      <w:r>
        <w:rPr>
          <w:rFonts w:ascii="ＭＳ 明朝" w:eastAsia="ＭＳ 明朝" w:hAnsi="ＭＳ 明朝" w:cs="MS-Mincho" w:hint="eastAsia"/>
          <w:kern w:val="0"/>
          <w:sz w:val="22"/>
        </w:rPr>
        <w:t xml:space="preserve">　</w:t>
      </w:r>
      <w:r w:rsidR="00F8302C">
        <w:rPr>
          <w:rFonts w:ascii="ＭＳ 明朝" w:eastAsia="ＭＳ 明朝" w:hAnsi="ＭＳ 明朝" w:cs="MS-Mincho" w:hint="eastAsia"/>
          <w:kern w:val="0"/>
          <w:sz w:val="22"/>
        </w:rPr>
        <w:t>東芝テック㈱　ViTESE（ヴィッテス）</w:t>
      </w:r>
      <w:r w:rsidR="00940E07">
        <w:rPr>
          <w:rFonts w:ascii="ＭＳ 明朝" w:eastAsia="ＭＳ 明朝" w:hAnsi="ＭＳ 明朝" w:cs="MS-Mincho" w:hint="eastAsia"/>
          <w:kern w:val="0"/>
          <w:sz w:val="22"/>
        </w:rPr>
        <w:t xml:space="preserve"> </w:t>
      </w:r>
      <w:r w:rsidR="00F8302C">
        <w:rPr>
          <w:rFonts w:ascii="ＭＳ 明朝" w:eastAsia="ＭＳ 明朝" w:hAnsi="ＭＳ 明朝" w:cs="MS-Mincho" w:hint="eastAsia"/>
          <w:kern w:val="0"/>
          <w:sz w:val="22"/>
        </w:rPr>
        <w:t>VT-350</w:t>
      </w:r>
      <w:r w:rsidR="001E1EED">
        <w:rPr>
          <w:rFonts w:ascii="ＭＳ 明朝" w:eastAsia="ＭＳ 明朝" w:hAnsi="ＭＳ 明朝" w:cs="MS-Mincho" w:hint="eastAsia"/>
          <w:kern w:val="0"/>
          <w:sz w:val="22"/>
        </w:rPr>
        <w:t>-</w:t>
      </w:r>
      <w:r w:rsidR="001E1EED">
        <w:rPr>
          <w:rFonts w:ascii="ＭＳ 明朝" w:eastAsia="ＭＳ 明朝" w:hAnsi="ＭＳ 明朝" w:cs="MS-Mincho"/>
          <w:kern w:val="0"/>
          <w:sz w:val="22"/>
        </w:rPr>
        <w:t>KL</w:t>
      </w:r>
      <w:r w:rsidR="001E1EED">
        <w:rPr>
          <w:rFonts w:ascii="ＭＳ 明朝" w:eastAsia="ＭＳ 明朝" w:hAnsi="ＭＳ 明朝" w:cs="MS-Mincho" w:hint="eastAsia"/>
          <w:kern w:val="0"/>
          <w:sz w:val="22"/>
        </w:rPr>
        <w:t>（硬貨釣銭機）+</w:t>
      </w:r>
      <w:r w:rsidR="001E1EED">
        <w:rPr>
          <w:rFonts w:ascii="ＭＳ 明朝" w:eastAsia="ＭＳ 明朝" w:hAnsi="ＭＳ 明朝" w:cs="MS-Mincho"/>
          <w:kern w:val="0"/>
          <w:sz w:val="22"/>
        </w:rPr>
        <w:t>VT-350-S</w:t>
      </w:r>
      <w:r w:rsidR="001E1EED">
        <w:rPr>
          <w:rFonts w:ascii="ＭＳ 明朝" w:eastAsia="ＭＳ 明朝" w:hAnsi="ＭＳ 明朝" w:cs="MS-Mincho" w:hint="eastAsia"/>
          <w:kern w:val="0"/>
          <w:sz w:val="22"/>
        </w:rPr>
        <w:t>（紙幣釣銭機）</w:t>
      </w:r>
    </w:p>
    <w:p w:rsidR="001E1EED" w:rsidRDefault="001E1EED"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　グローリー㈱　RT-N300（硬貨釣銭機）+</w:t>
      </w:r>
      <w:r>
        <w:rPr>
          <w:rFonts w:ascii="ＭＳ 明朝" w:eastAsia="ＭＳ 明朝" w:hAnsi="ＭＳ 明朝" w:cs="MS-Mincho"/>
          <w:kern w:val="0"/>
          <w:sz w:val="22"/>
        </w:rPr>
        <w:t>RAD-N300</w:t>
      </w:r>
      <w:r>
        <w:rPr>
          <w:rFonts w:ascii="ＭＳ 明朝" w:eastAsia="ＭＳ 明朝" w:hAnsi="ＭＳ 明朝" w:cs="MS-Mincho" w:hint="eastAsia"/>
          <w:kern w:val="0"/>
          <w:sz w:val="22"/>
        </w:rPr>
        <w:t>（紙幣釣銭機）</w:t>
      </w:r>
    </w:p>
    <w:p w:rsidR="00FD0021" w:rsidRPr="00F8302C" w:rsidRDefault="00FD0021" w:rsidP="002D3D05">
      <w:pPr>
        <w:autoSpaceDE w:val="0"/>
        <w:autoSpaceDN w:val="0"/>
        <w:adjustRightInd w:val="0"/>
        <w:jc w:val="left"/>
        <w:rPr>
          <w:rFonts w:ascii="ＭＳ 明朝" w:eastAsia="ＭＳ 明朝" w:hAnsi="ＭＳ 明朝" w:cs="MS-Mincho"/>
          <w:kern w:val="0"/>
          <w:sz w:val="22"/>
        </w:rPr>
      </w:pPr>
    </w:p>
    <w:p w:rsidR="00183B56" w:rsidRDefault="00183B56"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５　保守業務の内容</w:t>
      </w:r>
    </w:p>
    <w:p w:rsidR="00183B56" w:rsidRDefault="00434E96"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（１）別途保守契約を締結し、定期的に保守点検（年１回以上）を行うこと。</w:t>
      </w:r>
    </w:p>
    <w:p w:rsidR="00FD0021" w:rsidRDefault="008A2359" w:rsidP="008A2359">
      <w:pPr>
        <w:autoSpaceDE w:val="0"/>
        <w:autoSpaceDN w:val="0"/>
        <w:adjustRightInd w:val="0"/>
        <w:ind w:left="440" w:hangingChars="200" w:hanging="440"/>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sidR="00940E07">
        <w:rPr>
          <w:rFonts w:ascii="ＭＳ 明朝" w:eastAsia="ＭＳ 明朝" w:hAnsi="ＭＳ 明朝" w:cs="MS-Mincho" w:hint="eastAsia"/>
          <w:kern w:val="0"/>
          <w:sz w:val="22"/>
        </w:rPr>
        <w:t>２</w:t>
      </w:r>
      <w:r>
        <w:rPr>
          <w:rFonts w:ascii="ＭＳ 明朝" w:eastAsia="ＭＳ 明朝" w:hAnsi="ＭＳ 明朝" w:cs="MS-Mincho" w:hint="eastAsia"/>
          <w:kern w:val="0"/>
          <w:sz w:val="22"/>
        </w:rPr>
        <w:t>）保守サービス拠点が広島県内にあり、概ね１時間以内にエンジニアによる十分な保守を図れること。５年間にわたり修理、部品提供を円滑に行える体制を確保すること。</w:t>
      </w:r>
    </w:p>
    <w:p w:rsidR="008A2359" w:rsidRDefault="008A2359"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sidR="00940E07">
        <w:rPr>
          <w:rFonts w:ascii="ＭＳ 明朝" w:eastAsia="ＭＳ 明朝" w:hAnsi="ＭＳ 明朝" w:cs="MS-Mincho" w:hint="eastAsia"/>
          <w:kern w:val="0"/>
          <w:sz w:val="22"/>
        </w:rPr>
        <w:t>３</w:t>
      </w:r>
      <w:r>
        <w:rPr>
          <w:rFonts w:ascii="ＭＳ 明朝" w:eastAsia="ＭＳ 明朝" w:hAnsi="ＭＳ 明朝" w:cs="MS-Mincho" w:hint="eastAsia"/>
          <w:kern w:val="0"/>
          <w:sz w:val="22"/>
        </w:rPr>
        <w:t>）保守契約には、出張費・部品代・技術料が含まれること。</w:t>
      </w:r>
    </w:p>
    <w:p w:rsidR="008A2359" w:rsidRDefault="008A2359"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sidR="00940E07">
        <w:rPr>
          <w:rFonts w:ascii="ＭＳ 明朝" w:eastAsia="ＭＳ 明朝" w:hAnsi="ＭＳ 明朝" w:cs="MS-Mincho" w:hint="eastAsia"/>
          <w:kern w:val="0"/>
          <w:sz w:val="22"/>
        </w:rPr>
        <w:t>４</w:t>
      </w:r>
      <w:r>
        <w:rPr>
          <w:rFonts w:ascii="ＭＳ 明朝" w:eastAsia="ＭＳ 明朝" w:hAnsi="ＭＳ 明朝" w:cs="MS-Mincho" w:hint="eastAsia"/>
          <w:kern w:val="0"/>
          <w:sz w:val="22"/>
        </w:rPr>
        <w:t>）故障・不具合があった場合は、技術者の派遣等により対応すること。</w:t>
      </w:r>
    </w:p>
    <w:p w:rsidR="008A2359" w:rsidRPr="008A2359" w:rsidRDefault="008A2359"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sidR="00940E07">
        <w:rPr>
          <w:rFonts w:ascii="ＭＳ 明朝" w:eastAsia="ＭＳ 明朝" w:hAnsi="ＭＳ 明朝" w:cs="MS-Mincho" w:hint="eastAsia"/>
          <w:kern w:val="0"/>
          <w:sz w:val="22"/>
        </w:rPr>
        <w:t>５</w:t>
      </w:r>
      <w:r>
        <w:rPr>
          <w:rFonts w:ascii="ＭＳ 明朝" w:eastAsia="ＭＳ 明朝" w:hAnsi="ＭＳ 明朝" w:cs="MS-Mincho" w:hint="eastAsia"/>
          <w:kern w:val="0"/>
          <w:sz w:val="22"/>
        </w:rPr>
        <w:t>）機器の修理等に時間を要する場合は代替機を用意すること。</w:t>
      </w:r>
    </w:p>
    <w:p w:rsidR="00FD0021" w:rsidRPr="00940E07" w:rsidRDefault="00FD0021" w:rsidP="002D3D05">
      <w:pPr>
        <w:autoSpaceDE w:val="0"/>
        <w:autoSpaceDN w:val="0"/>
        <w:adjustRightInd w:val="0"/>
        <w:jc w:val="left"/>
        <w:rPr>
          <w:rFonts w:ascii="ＭＳ 明朝" w:eastAsia="ＭＳ 明朝" w:hAnsi="ＭＳ 明朝" w:cs="MS-Mincho"/>
          <w:kern w:val="0"/>
          <w:sz w:val="22"/>
        </w:rPr>
      </w:pPr>
    </w:p>
    <w:p w:rsidR="00FD0021" w:rsidRDefault="00C56BB0" w:rsidP="002D3D05">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６　特記事項</w:t>
      </w:r>
    </w:p>
    <w:p w:rsidR="00C56BB0" w:rsidRDefault="00C56BB0" w:rsidP="00C56BB0">
      <w:pPr>
        <w:autoSpaceDE w:val="0"/>
        <w:autoSpaceDN w:val="0"/>
        <w:adjustRightInd w:val="0"/>
        <w:ind w:left="440" w:hangingChars="200" w:hanging="440"/>
        <w:jc w:val="left"/>
        <w:rPr>
          <w:rFonts w:ascii="ＭＳ 明朝" w:eastAsia="ＭＳ 明朝" w:hAnsi="ＭＳ 明朝" w:cs="MS-Mincho"/>
          <w:kern w:val="0"/>
          <w:sz w:val="22"/>
        </w:rPr>
      </w:pPr>
      <w:r>
        <w:rPr>
          <w:rFonts w:ascii="ＭＳ 明朝" w:eastAsia="ＭＳ 明朝" w:hAnsi="ＭＳ 明朝" w:cs="MS-Mincho" w:hint="eastAsia"/>
          <w:kern w:val="0"/>
          <w:sz w:val="22"/>
        </w:rPr>
        <w:t>（１）自動釣銭機を納品した日から令和８年３月３１日までの間は、メーカー保証として「５　保守業務の内容」を行うこと。</w:t>
      </w:r>
    </w:p>
    <w:p w:rsidR="00940E07" w:rsidRDefault="00940E07" w:rsidP="00C56BB0">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（２）東芝テック製のPOSシステム及び自動釣銭機の両方ともメンテナンスできること。</w:t>
      </w:r>
    </w:p>
    <w:p w:rsidR="00CF1DC9" w:rsidRPr="00216ECD" w:rsidRDefault="00CF1DC9" w:rsidP="00CF1DC9">
      <w:pPr>
        <w:autoSpaceDE w:val="0"/>
        <w:autoSpaceDN w:val="0"/>
        <w:adjustRightInd w:val="0"/>
        <w:ind w:left="440" w:hangingChars="200" w:hanging="440"/>
        <w:jc w:val="left"/>
        <w:rPr>
          <w:rFonts w:ascii="ＭＳ 明朝" w:eastAsia="ＭＳ 明朝" w:hAnsi="ＭＳ 明朝" w:cs="MS-Mincho"/>
          <w:kern w:val="0"/>
          <w:sz w:val="22"/>
        </w:rPr>
      </w:pPr>
      <w:r w:rsidRPr="00216ECD">
        <w:rPr>
          <w:rFonts w:ascii="ＭＳ 明朝" w:eastAsia="ＭＳ 明朝" w:hAnsi="ＭＳ 明朝" w:cs="MS-Mincho" w:hint="eastAsia"/>
          <w:kern w:val="0"/>
          <w:sz w:val="22"/>
        </w:rPr>
        <w:t>（３）再セットアップ後の既存の東芝テック製のキャッシュレス決済端末との接続確認を行うこと。</w:t>
      </w:r>
    </w:p>
    <w:p w:rsidR="00C56BB0" w:rsidRDefault="00C56BB0" w:rsidP="00C56BB0">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sidR="00CF1DC9">
        <w:rPr>
          <w:rFonts w:ascii="ＭＳ 明朝" w:eastAsia="ＭＳ 明朝" w:hAnsi="ＭＳ 明朝" w:cs="MS-Mincho" w:hint="eastAsia"/>
          <w:kern w:val="0"/>
          <w:sz w:val="22"/>
        </w:rPr>
        <w:t>４</w:t>
      </w:r>
      <w:r>
        <w:rPr>
          <w:rFonts w:ascii="ＭＳ 明朝" w:eastAsia="ＭＳ 明朝" w:hAnsi="ＭＳ 明朝" w:cs="MS-Mincho" w:hint="eastAsia"/>
          <w:kern w:val="0"/>
          <w:sz w:val="22"/>
        </w:rPr>
        <w:t>）ポスシステムとの連携に要する作業に</w:t>
      </w:r>
      <w:r w:rsidR="0091704F">
        <w:rPr>
          <w:rFonts w:ascii="ＭＳ 明朝" w:eastAsia="ＭＳ 明朝" w:hAnsi="ＭＳ 明朝" w:cs="MS-Mincho" w:hint="eastAsia"/>
          <w:kern w:val="0"/>
          <w:sz w:val="22"/>
        </w:rPr>
        <w:t>当たっては</w:t>
      </w:r>
      <w:r>
        <w:rPr>
          <w:rFonts w:ascii="ＭＳ 明朝" w:eastAsia="ＭＳ 明朝" w:hAnsi="ＭＳ 明朝" w:cs="MS-Mincho" w:hint="eastAsia"/>
          <w:kern w:val="0"/>
          <w:sz w:val="22"/>
        </w:rPr>
        <w:t>、売店と十分に協議のうえ行うこと。</w:t>
      </w:r>
    </w:p>
    <w:p w:rsidR="009A427C" w:rsidRPr="009A427C" w:rsidRDefault="00AF3FF6" w:rsidP="00AF3FF6">
      <w:pPr>
        <w:rPr>
          <w:rFonts w:ascii="ＭＳ 明朝" w:eastAsia="ＭＳ 明朝"/>
          <w:color w:val="000000"/>
          <w:kern w:val="0"/>
        </w:rPr>
      </w:pPr>
      <w:r>
        <w:rPr>
          <w:rFonts w:ascii="ＭＳ 明朝" w:eastAsia="ＭＳ 明朝" w:hint="eastAsia"/>
          <w:color w:val="000000"/>
          <w:kern w:val="0"/>
        </w:rPr>
        <w:t>（</w:t>
      </w:r>
      <w:r w:rsidR="00CF1DC9">
        <w:rPr>
          <w:rFonts w:ascii="ＭＳ 明朝" w:eastAsia="ＭＳ 明朝" w:hint="eastAsia"/>
          <w:color w:val="000000"/>
          <w:kern w:val="0"/>
        </w:rPr>
        <w:t>５</w:t>
      </w:r>
      <w:r>
        <w:rPr>
          <w:rFonts w:ascii="ＭＳ 明朝" w:eastAsia="ＭＳ 明朝" w:hint="eastAsia"/>
          <w:color w:val="000000"/>
          <w:kern w:val="0"/>
        </w:rPr>
        <w:t>）</w:t>
      </w:r>
      <w:r w:rsidR="00C56BB0">
        <w:rPr>
          <w:rFonts w:ascii="ＭＳ 明朝" w:eastAsia="ＭＳ 明朝" w:hint="eastAsia"/>
          <w:color w:val="000000"/>
          <w:kern w:val="0"/>
        </w:rPr>
        <w:t>成果品納品後</w:t>
      </w:r>
      <w:r w:rsidRPr="00AF3FF6">
        <w:rPr>
          <w:rFonts w:ascii="ＭＳ 明朝" w:eastAsia="ＭＳ 明朝" w:cs="YuMincho-Regular"/>
          <w:kern w:val="0"/>
        </w:rPr>
        <w:t>、正常に動作することを確認すること。</w:t>
      </w:r>
    </w:p>
    <w:p w:rsidR="00034E8B" w:rsidRDefault="0091704F" w:rsidP="00AF3FF6">
      <w:pPr>
        <w:rPr>
          <w:rFonts w:ascii="ＭＳ 明朝" w:eastAsia="ＭＳ 明朝" w:cs="MS-Mincho"/>
          <w:kern w:val="0"/>
        </w:rPr>
      </w:pPr>
      <w:r>
        <w:rPr>
          <w:rFonts w:ascii="ＭＳ 明朝" w:eastAsia="ＭＳ 明朝" w:cs="MS-Mincho" w:hint="eastAsia"/>
          <w:kern w:val="0"/>
        </w:rPr>
        <w:t>（</w:t>
      </w:r>
      <w:r w:rsidR="00CF1DC9">
        <w:rPr>
          <w:rFonts w:ascii="ＭＳ 明朝" w:eastAsia="ＭＳ 明朝" w:cs="MS-Mincho" w:hint="eastAsia"/>
          <w:kern w:val="0"/>
        </w:rPr>
        <w:t>６</w:t>
      </w:r>
      <w:r>
        <w:rPr>
          <w:rFonts w:ascii="ＭＳ 明朝" w:eastAsia="ＭＳ 明朝" w:cs="MS-Mincho" w:hint="eastAsia"/>
          <w:kern w:val="0"/>
        </w:rPr>
        <w:t>）本仕様書に定めない事項又はこの仕様書に関して疑義が生じたときは、協議して決定すること。</w:t>
      </w:r>
    </w:p>
    <w:p w:rsidR="0091704F" w:rsidRDefault="0091704F" w:rsidP="00AF3FF6">
      <w:pPr>
        <w:rPr>
          <w:rFonts w:ascii="ＭＳ 明朝" w:eastAsia="ＭＳ 明朝" w:cs="MS-Mincho"/>
          <w:kern w:val="0"/>
        </w:rPr>
      </w:pPr>
    </w:p>
    <w:p w:rsidR="004A0818" w:rsidRDefault="004A0818" w:rsidP="002D3D05">
      <w:pPr>
        <w:autoSpaceDE w:val="0"/>
        <w:autoSpaceDN w:val="0"/>
        <w:adjustRightInd w:val="0"/>
        <w:jc w:val="left"/>
        <w:rPr>
          <w:rFonts w:ascii="ＭＳ 明朝" w:eastAsia="ＭＳ 明朝" w:hAnsi="ＭＳ 明朝" w:cs="MS-Mincho"/>
          <w:kern w:val="0"/>
          <w:sz w:val="22"/>
        </w:rPr>
      </w:pPr>
    </w:p>
    <w:p w:rsidR="006C5757" w:rsidRDefault="006C5757" w:rsidP="002D3D05">
      <w:pPr>
        <w:autoSpaceDE w:val="0"/>
        <w:autoSpaceDN w:val="0"/>
        <w:adjustRightInd w:val="0"/>
        <w:jc w:val="left"/>
        <w:rPr>
          <w:rFonts w:ascii="ＭＳ 明朝" w:eastAsia="ＭＳ 明朝" w:hAnsi="ＭＳ 明朝" w:cs="MS-Mincho"/>
          <w:kern w:val="0"/>
          <w:sz w:val="22"/>
        </w:rPr>
      </w:pPr>
    </w:p>
    <w:p w:rsidR="006C5757" w:rsidRDefault="006C5757" w:rsidP="002D3D05">
      <w:pPr>
        <w:autoSpaceDE w:val="0"/>
        <w:autoSpaceDN w:val="0"/>
        <w:adjustRightInd w:val="0"/>
        <w:jc w:val="left"/>
        <w:rPr>
          <w:rFonts w:ascii="ＭＳ 明朝" w:eastAsia="ＭＳ 明朝" w:hAnsi="ＭＳ 明朝" w:cs="MS-Mincho"/>
          <w:kern w:val="0"/>
          <w:sz w:val="22"/>
        </w:rPr>
      </w:pPr>
    </w:p>
    <w:p w:rsidR="006C5757" w:rsidRDefault="006C5757" w:rsidP="002D3D05">
      <w:pPr>
        <w:autoSpaceDE w:val="0"/>
        <w:autoSpaceDN w:val="0"/>
        <w:adjustRightInd w:val="0"/>
        <w:jc w:val="left"/>
        <w:rPr>
          <w:rFonts w:ascii="ＭＳ 明朝" w:eastAsia="ＭＳ 明朝" w:hAnsi="ＭＳ 明朝" w:cs="MS-Mincho"/>
          <w:kern w:val="0"/>
          <w:sz w:val="22"/>
        </w:rPr>
      </w:pPr>
    </w:p>
    <w:sectPr w:rsidR="006C5757" w:rsidSect="00AE5FB3">
      <w:pgSz w:w="11906" w:h="16838" w:code="9"/>
      <w:pgMar w:top="1304" w:right="1247" w:bottom="1247" w:left="124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55" w:rsidRDefault="007F4455" w:rsidP="007F4455">
      <w:r>
        <w:separator/>
      </w:r>
    </w:p>
  </w:endnote>
  <w:endnote w:type="continuationSeparator" w:id="0">
    <w:p w:rsidR="007F4455" w:rsidRDefault="007F4455" w:rsidP="007F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Mincho-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55" w:rsidRDefault="007F4455" w:rsidP="007F4455">
      <w:r>
        <w:separator/>
      </w:r>
    </w:p>
  </w:footnote>
  <w:footnote w:type="continuationSeparator" w:id="0">
    <w:p w:rsidR="007F4455" w:rsidRDefault="007F4455" w:rsidP="007F4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28B11C"/>
    <w:multiLevelType w:val="hybridMultilevel"/>
    <w:tmpl w:val="B00208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1C79C0"/>
    <w:multiLevelType w:val="hybridMultilevel"/>
    <w:tmpl w:val="78C32A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10"/>
  <w:drawingGridVerticalSpacing w:val="15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52"/>
    <w:rsid w:val="00021752"/>
    <w:rsid w:val="0003320B"/>
    <w:rsid w:val="00034E8B"/>
    <w:rsid w:val="000359D9"/>
    <w:rsid w:val="00066884"/>
    <w:rsid w:val="000B13BC"/>
    <w:rsid w:val="000E7421"/>
    <w:rsid w:val="000F32D0"/>
    <w:rsid w:val="000F3598"/>
    <w:rsid w:val="00105E5D"/>
    <w:rsid w:val="001506D5"/>
    <w:rsid w:val="00183B56"/>
    <w:rsid w:val="0019221A"/>
    <w:rsid w:val="001A46FB"/>
    <w:rsid w:val="001B0B31"/>
    <w:rsid w:val="001E1EED"/>
    <w:rsid w:val="001F029E"/>
    <w:rsid w:val="00210C4F"/>
    <w:rsid w:val="00214D35"/>
    <w:rsid w:val="00216ECD"/>
    <w:rsid w:val="002A56E9"/>
    <w:rsid w:val="002D3D05"/>
    <w:rsid w:val="003220CD"/>
    <w:rsid w:val="00355C6A"/>
    <w:rsid w:val="00394015"/>
    <w:rsid w:val="00412D4D"/>
    <w:rsid w:val="00434E96"/>
    <w:rsid w:val="004A0818"/>
    <w:rsid w:val="00502464"/>
    <w:rsid w:val="00527985"/>
    <w:rsid w:val="005333BD"/>
    <w:rsid w:val="005548BE"/>
    <w:rsid w:val="0057797E"/>
    <w:rsid w:val="005B030F"/>
    <w:rsid w:val="00630DF6"/>
    <w:rsid w:val="006331D0"/>
    <w:rsid w:val="00686E84"/>
    <w:rsid w:val="006B120F"/>
    <w:rsid w:val="006C5757"/>
    <w:rsid w:val="00755F30"/>
    <w:rsid w:val="007D4790"/>
    <w:rsid w:val="007D7CF7"/>
    <w:rsid w:val="007F4455"/>
    <w:rsid w:val="0086587D"/>
    <w:rsid w:val="00881E34"/>
    <w:rsid w:val="008965D3"/>
    <w:rsid w:val="008A06BC"/>
    <w:rsid w:val="008A2359"/>
    <w:rsid w:val="008A30BD"/>
    <w:rsid w:val="008A606C"/>
    <w:rsid w:val="008B3731"/>
    <w:rsid w:val="008C5F75"/>
    <w:rsid w:val="008D0CCB"/>
    <w:rsid w:val="009107C6"/>
    <w:rsid w:val="0091704F"/>
    <w:rsid w:val="009371F5"/>
    <w:rsid w:val="00940E07"/>
    <w:rsid w:val="009433D7"/>
    <w:rsid w:val="009A427C"/>
    <w:rsid w:val="009B260D"/>
    <w:rsid w:val="009E4452"/>
    <w:rsid w:val="00A0040D"/>
    <w:rsid w:val="00A81D76"/>
    <w:rsid w:val="00A90975"/>
    <w:rsid w:val="00AE5FB3"/>
    <w:rsid w:val="00AF3FF6"/>
    <w:rsid w:val="00BD4C63"/>
    <w:rsid w:val="00BF336D"/>
    <w:rsid w:val="00BF54BD"/>
    <w:rsid w:val="00C01CDC"/>
    <w:rsid w:val="00C56BB0"/>
    <w:rsid w:val="00C61965"/>
    <w:rsid w:val="00C82BFA"/>
    <w:rsid w:val="00C9023D"/>
    <w:rsid w:val="00CF1DC9"/>
    <w:rsid w:val="00D27686"/>
    <w:rsid w:val="00DA4F96"/>
    <w:rsid w:val="00DE0F8C"/>
    <w:rsid w:val="00DE384F"/>
    <w:rsid w:val="00DF720D"/>
    <w:rsid w:val="00E160BD"/>
    <w:rsid w:val="00E304A4"/>
    <w:rsid w:val="00E56FBF"/>
    <w:rsid w:val="00E82A61"/>
    <w:rsid w:val="00E83097"/>
    <w:rsid w:val="00EA2064"/>
    <w:rsid w:val="00EA3ABC"/>
    <w:rsid w:val="00F27D77"/>
    <w:rsid w:val="00F414AC"/>
    <w:rsid w:val="00F8302C"/>
    <w:rsid w:val="00FA56B3"/>
    <w:rsid w:val="00FD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D3FE1DE-3C11-4B4A-BD94-472C534A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75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F4455"/>
    <w:pPr>
      <w:tabs>
        <w:tab w:val="center" w:pos="4252"/>
        <w:tab w:val="right" w:pos="8504"/>
      </w:tabs>
      <w:snapToGrid w:val="0"/>
    </w:pPr>
  </w:style>
  <w:style w:type="character" w:customStyle="1" w:styleId="a4">
    <w:name w:val="ヘッダー (文字)"/>
    <w:basedOn w:val="a0"/>
    <w:link w:val="a3"/>
    <w:uiPriority w:val="99"/>
    <w:rsid w:val="007F4455"/>
  </w:style>
  <w:style w:type="paragraph" w:styleId="a5">
    <w:name w:val="footer"/>
    <w:basedOn w:val="a"/>
    <w:link w:val="a6"/>
    <w:uiPriority w:val="99"/>
    <w:unhideWhenUsed/>
    <w:rsid w:val="007F4455"/>
    <w:pPr>
      <w:tabs>
        <w:tab w:val="center" w:pos="4252"/>
        <w:tab w:val="right" w:pos="8504"/>
      </w:tabs>
      <w:snapToGrid w:val="0"/>
    </w:pPr>
  </w:style>
  <w:style w:type="character" w:customStyle="1" w:styleId="a6">
    <w:name w:val="フッター (文字)"/>
    <w:basedOn w:val="a0"/>
    <w:link w:val="a5"/>
    <w:uiPriority w:val="99"/>
    <w:rsid w:val="007F4455"/>
  </w:style>
  <w:style w:type="paragraph" w:styleId="a7">
    <w:name w:val="Balloon Text"/>
    <w:basedOn w:val="a"/>
    <w:link w:val="a8"/>
    <w:uiPriority w:val="99"/>
    <w:semiHidden/>
    <w:unhideWhenUsed/>
    <w:rsid w:val="001F02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2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802556">
      <w:bodyDiv w:val="1"/>
      <w:marLeft w:val="0"/>
      <w:marRight w:val="0"/>
      <w:marTop w:val="0"/>
      <w:marBottom w:val="0"/>
      <w:divBdr>
        <w:top w:val="none" w:sz="0" w:space="0" w:color="auto"/>
        <w:left w:val="none" w:sz="0" w:space="0" w:color="auto"/>
        <w:bottom w:val="none" w:sz="0" w:space="0" w:color="auto"/>
        <w:right w:val="none" w:sz="0" w:space="0" w:color="auto"/>
      </w:divBdr>
    </w:div>
    <w:div w:id="999577083">
      <w:bodyDiv w:val="1"/>
      <w:marLeft w:val="0"/>
      <w:marRight w:val="0"/>
      <w:marTop w:val="0"/>
      <w:marBottom w:val="0"/>
      <w:divBdr>
        <w:top w:val="none" w:sz="0" w:space="0" w:color="auto"/>
        <w:left w:val="none" w:sz="0" w:space="0" w:color="auto"/>
        <w:bottom w:val="none" w:sz="0" w:space="0" w:color="auto"/>
        <w:right w:val="none" w:sz="0" w:space="0" w:color="auto"/>
      </w:divBdr>
    </w:div>
    <w:div w:id="1550072827">
      <w:bodyDiv w:val="1"/>
      <w:marLeft w:val="0"/>
      <w:marRight w:val="0"/>
      <w:marTop w:val="0"/>
      <w:marBottom w:val="0"/>
      <w:divBdr>
        <w:top w:val="none" w:sz="0" w:space="0" w:color="auto"/>
        <w:left w:val="none" w:sz="0" w:space="0" w:color="auto"/>
        <w:bottom w:val="none" w:sz="0" w:space="0" w:color="auto"/>
        <w:right w:val="none" w:sz="0" w:space="0" w:color="auto"/>
      </w:divBdr>
    </w:div>
    <w:div w:id="17807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005A-6878-4DB5-AF7D-22507DE5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正友</dc:creator>
  <cp:keywords/>
  <dc:description/>
  <cp:lastModifiedBy>川崎　正友</cp:lastModifiedBy>
  <cp:revision>65</cp:revision>
  <cp:lastPrinted>2025-05-19T00:41:00Z</cp:lastPrinted>
  <dcterms:created xsi:type="dcterms:W3CDTF">2025-04-19T23:49:00Z</dcterms:created>
  <dcterms:modified xsi:type="dcterms:W3CDTF">2025-07-28T07:03:00Z</dcterms:modified>
</cp:coreProperties>
</file>