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D76FD">
      <w:pPr>
        <w:autoSpaceDE w:val="0"/>
        <w:autoSpaceDN w:val="0"/>
        <w:adjustRightInd w:val="0"/>
        <w:spacing w:line="20" w:lineRule="atLeast"/>
        <w:ind w:left="960" w:hanging="240"/>
        <w:jc w:val="left"/>
        <w:rPr>
          <w:rFonts w:ascii="ＭＳ ゴシック" w:eastAsia="ＭＳ ゴシック" w:hAnsi="ＭＳ ゴシック" w:cs="ＭＳ ゴシック"/>
          <w:color w:val="000000"/>
          <w:kern w:val="0"/>
          <w:sz w:val="24"/>
          <w:szCs w:val="24"/>
        </w:rPr>
      </w:pPr>
      <w:bookmarkStart w:id="0" w:name="_GoBack"/>
      <w:bookmarkEnd w:id="0"/>
      <w:r>
        <w:rPr>
          <w:rFonts w:ascii="ＭＳ ゴシック" w:eastAsia="ＭＳ ゴシック" w:hAnsi="ＭＳ ゴシック" w:cs="ＭＳ ゴシック" w:hint="eastAsia"/>
          <w:color w:val="000000"/>
          <w:kern w:val="0"/>
          <w:sz w:val="24"/>
          <w:szCs w:val="24"/>
        </w:rPr>
        <w:t>○尾道市営駐車場設置及び管理条例施行規則</w:t>
      </w:r>
    </w:p>
    <w:p w:rsidR="00000000" w:rsidRDefault="009D76FD">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日</w:t>
      </w:r>
    </w:p>
    <w:p w:rsidR="00000000" w:rsidRDefault="009D76FD">
      <w:pPr>
        <w:autoSpaceDE w:val="0"/>
        <w:autoSpaceDN w:val="0"/>
        <w:adjustRightInd w:val="0"/>
        <w:spacing w:line="20" w:lineRule="atLeast"/>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規則第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号</w:t>
      </w:r>
    </w:p>
    <w:p w:rsidR="00000000" w:rsidRDefault="009D76FD">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尾道市営駐車場設置及び管理条例施行規則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昭和</w:t>
      </w:r>
      <w:r>
        <w:rPr>
          <w:rFonts w:ascii="ＭＳ ゴシック" w:eastAsia="ＭＳ ゴシック" w:hAnsi="ＭＳ ゴシック" w:cs="ＭＳ ゴシック"/>
          <w:color w:val="000000"/>
          <w:kern w:val="0"/>
          <w:szCs w:val="21"/>
        </w:rPr>
        <w:t>51</w:t>
      </w:r>
      <w:r>
        <w:rPr>
          <w:rFonts w:ascii="ＭＳ ゴシック" w:eastAsia="ＭＳ ゴシック" w:hAnsi="ＭＳ ゴシック" w:cs="ＭＳ ゴシック" w:hint="eastAsia"/>
          <w:color w:val="000000"/>
          <w:kern w:val="0"/>
          <w:szCs w:val="21"/>
        </w:rPr>
        <w:t>年規則第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の全部を改正する。</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趣旨</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条　この規則は、尾道市営駐車場設置及び管理条例</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17</w:t>
      </w:r>
      <w:r>
        <w:rPr>
          <w:rFonts w:ascii="ＭＳ ゴシック" w:eastAsia="ＭＳ ゴシック" w:hAnsi="ＭＳ ゴシック" w:cs="ＭＳ ゴシック" w:hint="eastAsia"/>
          <w:color w:val="000000"/>
          <w:kern w:val="0"/>
          <w:szCs w:val="21"/>
        </w:rPr>
        <w:t>年条例第</w:t>
      </w:r>
      <w:r>
        <w:rPr>
          <w:rFonts w:ascii="ＭＳ ゴシック" w:eastAsia="ＭＳ ゴシック" w:hAnsi="ＭＳ ゴシック" w:cs="ＭＳ ゴシック"/>
          <w:color w:val="000000"/>
          <w:kern w:val="0"/>
          <w:szCs w:val="21"/>
        </w:rPr>
        <w:t>160</w:t>
      </w:r>
      <w:r>
        <w:rPr>
          <w:rFonts w:ascii="ＭＳ ゴシック" w:eastAsia="ＭＳ ゴシック" w:hAnsi="ＭＳ ゴシック" w:cs="ＭＳ ゴシック" w:hint="eastAsia"/>
          <w:color w:val="000000"/>
          <w:kern w:val="0"/>
          <w:szCs w:val="21"/>
        </w:rPr>
        <w:t>号。以下「条例」という。</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の施行について必要な事項を定めるものとす</w:t>
      </w:r>
      <w:r>
        <w:rPr>
          <w:rFonts w:ascii="ＭＳ ゴシック" w:eastAsia="ＭＳ ゴシック" w:hAnsi="ＭＳ ゴシック" w:cs="ＭＳ ゴシック" w:hint="eastAsia"/>
          <w:color w:val="000000"/>
          <w:kern w:val="0"/>
          <w:szCs w:val="21"/>
        </w:rPr>
        <w:t>る。</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一般使用の許可</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条　駐車場の一般使用に係る条例第</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条第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項の許可は、駐車場に入庫の際に駐車券を交付して行う。</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定期利用の許可</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条　駐車場の定期利用に係る条例第</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条第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項の許可</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以下「定期利用許可」という。</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を受けようとする者は、使用しようとする月の前月</w:t>
      </w:r>
      <w:r>
        <w:rPr>
          <w:rFonts w:ascii="ＭＳ ゴシック" w:eastAsia="ＭＳ ゴシック" w:hAnsi="ＭＳ ゴシック" w:cs="ＭＳ ゴシック"/>
          <w:color w:val="000000"/>
          <w:kern w:val="0"/>
          <w:szCs w:val="21"/>
        </w:rPr>
        <w:t>25</w:t>
      </w:r>
      <w:r>
        <w:rPr>
          <w:rFonts w:ascii="ＭＳ ゴシック" w:eastAsia="ＭＳ ゴシック" w:hAnsi="ＭＳ ゴシック" w:cs="ＭＳ ゴシック" w:hint="eastAsia"/>
          <w:color w:val="000000"/>
          <w:kern w:val="0"/>
          <w:szCs w:val="21"/>
        </w:rPr>
        <w:t>日までに駐車場定期利用申込書</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別記様式第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に自動車検査証を添付して提出しなければならない。ただし、指定管理者がやむを得ない事由があると認めるときは、自動車検査証については</w:t>
      </w:r>
      <w:r>
        <w:rPr>
          <w:rFonts w:ascii="ＭＳ ゴシック" w:eastAsia="ＭＳ ゴシック" w:hAnsi="ＭＳ ゴシック" w:cs="ＭＳ ゴシック" w:hint="eastAsia"/>
          <w:color w:val="000000"/>
          <w:kern w:val="0"/>
          <w:szCs w:val="21"/>
        </w:rPr>
        <w:t>、使用しようとする月の</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日までに提出することができる。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指定管理者は、前項の定期利用の申込みがあったときは、一般使用に支障がないと認める範囲内で許可するものとする。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指定管理者は、定期利用許可をしたときは、申込みに係る駐車場の定期駐車券を交付するものとする。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 xml:space="preserve">　定期利用許可を受けた者は、許可に係る自動車を変更するときは、駐車場定期利用変更許可願</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別記様式第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に自動車検車証を添付して提出しなければならない。</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駐車位置</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条　駐車場を使用する者は、</w:t>
      </w:r>
      <w:r>
        <w:rPr>
          <w:rFonts w:ascii="ＭＳ ゴシック" w:eastAsia="ＭＳ ゴシック" w:hAnsi="ＭＳ ゴシック" w:cs="ＭＳ ゴシック" w:hint="eastAsia"/>
          <w:color w:val="000000"/>
          <w:kern w:val="0"/>
          <w:szCs w:val="21"/>
        </w:rPr>
        <w:t>駐車区画として定められた場所以外に駐車してはならない。</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定期利用をする者の駐車位置は、許可の際に指定された場所とする。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指定管理者は、駐車場の管理上必要があるときは、駐車位置を変更することができる。</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定期利用の方法</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条　定期利用許可を受けた者が、定期利用の必要がなくなった場合は、駐車場返還届</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別記様式第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を提出し、許可の際交付された定期駐車券を返還しなければならない。ただし、利用許可期間が満了する場合にあっては、駐車場返還届の提出を要せず、定期</w:t>
      </w:r>
      <w:r>
        <w:rPr>
          <w:rFonts w:ascii="ＭＳ ゴシック" w:eastAsia="ＭＳ ゴシック" w:hAnsi="ＭＳ ゴシック" w:cs="ＭＳ ゴシック" w:hint="eastAsia"/>
          <w:color w:val="000000"/>
          <w:kern w:val="0"/>
          <w:szCs w:val="21"/>
        </w:rPr>
        <w:t>駐車券は返還又は廃棄するものとする。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定期駐車券は、許可を受けた者以外は使用してはならない。</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定期駐車券を破損又は紛失した者は、再発行に要する費用を負担して、定期駐車券の再発行を受けることができる。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 xml:space="preserve">　指定管理者は、定期駐車券を不正に使用した者に対し、当該定期駐車券を無効とし、損害賠償を請求することができる。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 xml:space="preserve">　指定管理者は、駐車場が満車であるときは、定期利用許可を受けた者の駐車場の利用を断ることができる。この場合において、利用料金の還付はしないものとする。</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・一部</w:t>
      </w:r>
      <w:r>
        <w:rPr>
          <w:rFonts w:ascii="ＭＳ ゴシック" w:eastAsia="ＭＳ ゴシック" w:hAnsi="ＭＳ ゴシック" w:cs="ＭＳ ゴシック" w:hint="eastAsia"/>
          <w:color w:val="000000"/>
          <w:kern w:val="0"/>
          <w:szCs w:val="21"/>
        </w:rPr>
        <w:t>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定期利用の更新</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条　定期利用の許可の期間は、最長</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年とし、年度ごとに終了するものとする。ただし、更新の手続により、継続して使用許可を受けることができるものとする。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定期利用の更新の手続は、第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条第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項の規定を準用する。ただし、許可に係る自動車に変更がない場合は、自動車検査証の提出を省略することができる。</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利用料金の納付等</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条　一般使用の場合における利用料金は、駐車場を出庫するときに納入するものとする。ただし、駐車割引券等による利用の場合にあっては、利</w:t>
      </w:r>
      <w:r>
        <w:rPr>
          <w:rFonts w:ascii="ＭＳ ゴシック" w:eastAsia="ＭＳ ゴシック" w:hAnsi="ＭＳ ゴシック" w:cs="ＭＳ ゴシック" w:hint="eastAsia"/>
          <w:color w:val="000000"/>
          <w:kern w:val="0"/>
          <w:szCs w:val="21"/>
        </w:rPr>
        <w:t>用者がこれを購入するときに納入するものとする。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定期利用の場合における利用料金は、</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か月ごとに納入するものとし、最初の月の利用料金は、利用の許可後速やかに納入し、翌月分以降については、その月の前月の末日までに納入するものとする。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条例第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条第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項に規定する駐車割引券を販売する場合には、別表の左欄に掲げる区分に応じ、販売枚数に同表右欄に掲げる上乗せ率を乗じて得た枚数を加算して交付する。</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29</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12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駐車時間及び利用料金</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第</w:t>
      </w:r>
      <w:r>
        <w:rPr>
          <w:rFonts w:ascii="ＭＳ ゴシック" w:eastAsia="ＭＳ ゴシック" w:hAnsi="ＭＳ ゴシック" w:cs="ＭＳ ゴシック"/>
          <w:color w:val="000000"/>
          <w:kern w:val="0"/>
          <w:szCs w:val="21"/>
        </w:rPr>
        <w:t>8</w:t>
      </w:r>
      <w:r>
        <w:rPr>
          <w:rFonts w:ascii="ＭＳ ゴシック" w:eastAsia="ＭＳ ゴシック" w:hAnsi="ＭＳ ゴシック" w:cs="ＭＳ ゴシック" w:hint="eastAsia"/>
          <w:color w:val="000000"/>
          <w:kern w:val="0"/>
          <w:szCs w:val="21"/>
        </w:rPr>
        <w:t>条　一般使用の</w:t>
      </w:r>
      <w:r>
        <w:rPr>
          <w:rFonts w:ascii="ＭＳ ゴシック" w:eastAsia="ＭＳ ゴシック" w:hAnsi="ＭＳ ゴシック" w:cs="ＭＳ ゴシック" w:hint="eastAsia"/>
          <w:color w:val="000000"/>
          <w:kern w:val="0"/>
          <w:szCs w:val="21"/>
        </w:rPr>
        <w:t>利用料金を算出するための駐車時間は、駐車場に入庫の際駐車券を交付した時刻から出庫の際駐車券を返納した時刻までの時間とする。この場合において、入庫及び出庫の場合の時刻が明確でないときは、指定管理者の認定するところによ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東尾道駅前駐車場において、入庫及び出庫の場合の時刻が明確でないときは、</w:t>
      </w:r>
      <w:r>
        <w:rPr>
          <w:rFonts w:ascii="ＭＳ ゴシック" w:eastAsia="ＭＳ ゴシック" w:hAnsi="ＭＳ ゴシック" w:cs="ＭＳ ゴシック"/>
          <w:color w:val="000000"/>
          <w:kern w:val="0"/>
          <w:szCs w:val="21"/>
        </w:rPr>
        <w:t>24</w:t>
      </w:r>
      <w:r>
        <w:rPr>
          <w:rFonts w:ascii="ＭＳ ゴシック" w:eastAsia="ＭＳ ゴシック" w:hAnsi="ＭＳ ゴシック" w:cs="ＭＳ ゴシック" w:hint="eastAsia"/>
          <w:color w:val="000000"/>
          <w:kern w:val="0"/>
          <w:szCs w:val="21"/>
        </w:rPr>
        <w:t>時間の料金とする。</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定期利用許可の期間等</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条　定期利用は、月の初日から末日までを</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か月の単位として許可するものとする。ただし、月の途中から許可することができるもの</w:t>
      </w:r>
      <w:r>
        <w:rPr>
          <w:rFonts w:ascii="ＭＳ ゴシック" w:eastAsia="ＭＳ ゴシック" w:hAnsi="ＭＳ ゴシック" w:cs="ＭＳ ゴシック" w:hint="eastAsia"/>
          <w:color w:val="000000"/>
          <w:kern w:val="0"/>
          <w:szCs w:val="21"/>
        </w:rPr>
        <w:t>とし、この場合にあっては、当該中途の日から当該月の末日までを</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か月とみなす。</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条第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項本文又は前項ただし書に規定する場合において、特別な理由がある場合を除き、定期利用に係る利用料金の還付及び減免は行わない。</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定期利用許可を受けた者が、許可を受けた期間又は時間を超えて駐車した場合における超過時間分の利用料金の算定は、一般使用の利用料金によるものとする。</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減免</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条　条例第</w:t>
      </w:r>
      <w:r>
        <w:rPr>
          <w:rFonts w:ascii="ＭＳ ゴシック" w:eastAsia="ＭＳ ゴシック" w:hAnsi="ＭＳ ゴシック" w:cs="ＭＳ ゴシック"/>
          <w:color w:val="000000"/>
          <w:kern w:val="0"/>
          <w:szCs w:val="21"/>
        </w:rPr>
        <w:t>14</w:t>
      </w:r>
      <w:r>
        <w:rPr>
          <w:rFonts w:ascii="ＭＳ ゴシック" w:eastAsia="ＭＳ ゴシック" w:hAnsi="ＭＳ ゴシック" w:cs="ＭＳ ゴシック" w:hint="eastAsia"/>
          <w:color w:val="000000"/>
          <w:kern w:val="0"/>
          <w:szCs w:val="21"/>
        </w:rPr>
        <w:t>条に規定する利用料金の減免は、次の各号に定めるところによる。</w:t>
      </w:r>
    </w:p>
    <w:p w:rsidR="00000000" w:rsidRDefault="009D76FD">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公</w:t>
      </w:r>
      <w:r>
        <w:rPr>
          <w:rFonts w:ascii="ＭＳ ゴシック" w:eastAsia="ＭＳ ゴシック" w:hAnsi="ＭＳ ゴシック" w:cs="ＭＳ ゴシック" w:hint="eastAsia"/>
          <w:color w:val="000000"/>
          <w:kern w:val="0"/>
          <w:szCs w:val="21"/>
        </w:rPr>
        <w:t>務のために利用するとき　免除</w:t>
      </w:r>
    </w:p>
    <w:p w:rsidR="00000000" w:rsidRDefault="009D76FD">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市の来客等が利用する場合で交際上必要なとき　免除</w:t>
      </w:r>
    </w:p>
    <w:p w:rsidR="00000000" w:rsidRDefault="009D76FD">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その他市長が特に必要と認めたとき　減額又は免除</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前項の規定により利用料金の減免を受けようとする者は、あらかじめ指定管理者の発行する無料の駐車券又は駐車割引券の交付を受けるものとする。</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12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物件等の破損の場合の処理</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11</w:t>
      </w:r>
      <w:r>
        <w:rPr>
          <w:rFonts w:ascii="ＭＳ ゴシック" w:eastAsia="ＭＳ ゴシック" w:hAnsi="ＭＳ ゴシック" w:cs="ＭＳ ゴシック" w:hint="eastAsia"/>
          <w:color w:val="000000"/>
          <w:kern w:val="0"/>
          <w:szCs w:val="21"/>
        </w:rPr>
        <w:t>条　駐車場の諸設備その他の物件を破損した者は、直ちにその状況を係員に届け出るとともに、損害賠償の方法等について市長の承認を受けなければ</w:t>
      </w:r>
      <w:r>
        <w:rPr>
          <w:rFonts w:ascii="ＭＳ ゴシック" w:eastAsia="ＭＳ ゴシック" w:hAnsi="ＭＳ ゴシック" w:cs="ＭＳ ゴシック" w:hint="eastAsia"/>
          <w:color w:val="000000"/>
          <w:kern w:val="0"/>
          <w:szCs w:val="21"/>
        </w:rPr>
        <w:t>ならない。</w:t>
      </w:r>
    </w:p>
    <w:p w:rsidR="00000000" w:rsidRDefault="009D76FD">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この規則は、公布の日から施行する。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この規則の施行の際現に使用している申請書等の様式は、当分の間これを使用することができる。</w:t>
      </w:r>
    </w:p>
    <w:p w:rsidR="00000000" w:rsidRDefault="009D76FD">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23</w:t>
      </w:r>
      <w:r>
        <w:rPr>
          <w:rFonts w:ascii="ＭＳ ゴシック" w:eastAsia="ＭＳ ゴシック" w:hAnsi="ＭＳ ゴシック" w:cs="ＭＳ ゴシック" w:hint="eastAsia"/>
          <w:color w:val="000000"/>
          <w:kern w:val="0"/>
          <w:szCs w:val="21"/>
        </w:rPr>
        <w:t>日規則第</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この規則は、平成</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日から施行する。</w:t>
      </w:r>
    </w:p>
    <w:p w:rsidR="00000000" w:rsidRDefault="009D76FD">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平成</w:t>
      </w:r>
      <w:r>
        <w:rPr>
          <w:rFonts w:ascii="ＭＳ ゴシック" w:eastAsia="ＭＳ ゴシック" w:hAnsi="ＭＳ ゴシック" w:cs="ＭＳ ゴシック"/>
          <w:color w:val="000000"/>
          <w:kern w:val="0"/>
          <w:szCs w:val="21"/>
        </w:rPr>
        <w:t>29</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日規則第</w:t>
      </w:r>
      <w:r>
        <w:rPr>
          <w:rFonts w:ascii="ＭＳ ゴシック" w:eastAsia="ＭＳ ゴシック" w:hAnsi="ＭＳ ゴシック" w:cs="ＭＳ ゴシック"/>
          <w:color w:val="000000"/>
          <w:kern w:val="0"/>
          <w:szCs w:val="21"/>
        </w:rPr>
        <w:t>6</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この規則は、公布の日から施行する。</w:t>
      </w:r>
    </w:p>
    <w:p w:rsidR="00000000" w:rsidRDefault="009D76FD">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25</w:t>
      </w:r>
      <w:r>
        <w:rPr>
          <w:rFonts w:ascii="ＭＳ ゴシック" w:eastAsia="ＭＳ ゴシック" w:hAnsi="ＭＳ ゴシック" w:cs="ＭＳ ゴシック" w:hint="eastAsia"/>
          <w:color w:val="000000"/>
          <w:kern w:val="0"/>
          <w:szCs w:val="21"/>
        </w:rPr>
        <w:t>日規則第</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この規則は、令和</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日から施行する。</w:t>
      </w:r>
    </w:p>
    <w:p w:rsidR="00000000" w:rsidRDefault="009D76FD">
      <w:pPr>
        <w:autoSpaceDE w:val="0"/>
        <w:autoSpaceDN w:val="0"/>
        <w:adjustRightInd w:val="0"/>
        <w:spacing w:line="20" w:lineRule="atLeast"/>
        <w:ind w:left="63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付　則</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21</w:t>
      </w:r>
      <w:r>
        <w:rPr>
          <w:rFonts w:ascii="ＭＳ ゴシック" w:eastAsia="ＭＳ ゴシック" w:hAnsi="ＭＳ ゴシック" w:cs="ＭＳ ゴシック" w:hint="eastAsia"/>
          <w:color w:val="000000"/>
          <w:kern w:val="0"/>
          <w:szCs w:val="21"/>
        </w:rPr>
        <w:t>日規則第</w:t>
      </w:r>
      <w:r>
        <w:rPr>
          <w:rFonts w:ascii="ＭＳ ゴシック" w:eastAsia="ＭＳ ゴシック" w:hAnsi="ＭＳ ゴシック" w:cs="ＭＳ ゴシック"/>
          <w:color w:val="000000"/>
          <w:kern w:val="0"/>
          <w:szCs w:val="21"/>
        </w:rPr>
        <w:t>12</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この規則は、令和</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日から施行する。</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別表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条関係</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7</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12</w:t>
      </w:r>
      <w:r>
        <w:rPr>
          <w:rFonts w:ascii="ＭＳ ゴシック" w:eastAsia="ＭＳ ゴシック" w:hAnsi="ＭＳ ゴシック" w:cs="ＭＳ ゴシック" w:hint="eastAsia"/>
          <w:color w:val="000000"/>
          <w:kern w:val="0"/>
          <w:szCs w:val="21"/>
        </w:rPr>
        <w:t>・追加</w:t>
      </w:r>
      <w:r>
        <w:rPr>
          <w:rFonts w:ascii="ＭＳ ゴシック" w:eastAsia="ＭＳ ゴシック" w:hAnsi="ＭＳ ゴシック" w:cs="ＭＳ ゴシック"/>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789"/>
        <w:gridCol w:w="5188"/>
      </w:tblGrid>
      <w:tr w:rsidR="00000000">
        <w:tblPrEx>
          <w:tblCellMar>
            <w:top w:w="0" w:type="dxa"/>
            <w:left w:w="0" w:type="dxa"/>
            <w:bottom w:w="0" w:type="dxa"/>
            <w:right w:w="0" w:type="dxa"/>
          </w:tblCellMar>
        </w:tblPrEx>
        <w:tc>
          <w:tcPr>
            <w:tcW w:w="4789" w:type="dxa"/>
            <w:tcBorders>
              <w:top w:val="single" w:sz="4" w:space="0" w:color="000000"/>
              <w:left w:val="single" w:sz="4" w:space="0" w:color="000000"/>
              <w:bottom w:val="single" w:sz="4" w:space="0" w:color="000000"/>
              <w:right w:val="single" w:sz="4" w:space="0" w:color="000000"/>
            </w:tcBorders>
          </w:tcPr>
          <w:p w:rsidR="00000000" w:rsidRDefault="009D76FD">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販売枚数</w:t>
            </w:r>
          </w:p>
        </w:tc>
        <w:tc>
          <w:tcPr>
            <w:tcW w:w="5188" w:type="dxa"/>
            <w:tcBorders>
              <w:top w:val="single" w:sz="4" w:space="0" w:color="000000"/>
              <w:left w:val="nil"/>
              <w:bottom w:val="single" w:sz="4" w:space="0" w:color="000000"/>
              <w:right w:val="single" w:sz="4" w:space="0" w:color="000000"/>
            </w:tcBorders>
          </w:tcPr>
          <w:p w:rsidR="00000000" w:rsidRDefault="009D76FD">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上乗せ率</w:t>
            </w:r>
          </w:p>
        </w:tc>
      </w:tr>
      <w:tr w:rsidR="00000000">
        <w:tblPrEx>
          <w:tblCellMar>
            <w:top w:w="0" w:type="dxa"/>
            <w:left w:w="0" w:type="dxa"/>
            <w:bottom w:w="0" w:type="dxa"/>
            <w:right w:w="0" w:type="dxa"/>
          </w:tblCellMar>
        </w:tblPrEx>
        <w:tc>
          <w:tcPr>
            <w:tcW w:w="4789" w:type="dxa"/>
            <w:tcBorders>
              <w:top w:val="nil"/>
              <w:left w:val="single" w:sz="4" w:space="0" w:color="000000"/>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枚以上の場合</w:t>
            </w:r>
          </w:p>
        </w:tc>
        <w:tc>
          <w:tcPr>
            <w:tcW w:w="5188" w:type="dxa"/>
            <w:tcBorders>
              <w:top w:val="nil"/>
              <w:left w:val="nil"/>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％分を上乗せ</w:t>
            </w:r>
          </w:p>
        </w:tc>
      </w:tr>
      <w:tr w:rsidR="00000000">
        <w:tblPrEx>
          <w:tblCellMar>
            <w:top w:w="0" w:type="dxa"/>
            <w:left w:w="0" w:type="dxa"/>
            <w:bottom w:w="0" w:type="dxa"/>
            <w:right w:w="0" w:type="dxa"/>
          </w:tblCellMar>
        </w:tblPrEx>
        <w:tc>
          <w:tcPr>
            <w:tcW w:w="4789" w:type="dxa"/>
            <w:tcBorders>
              <w:top w:val="nil"/>
              <w:left w:val="single" w:sz="4" w:space="0" w:color="000000"/>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枚以上の場合</w:t>
            </w:r>
          </w:p>
        </w:tc>
        <w:tc>
          <w:tcPr>
            <w:tcW w:w="5188" w:type="dxa"/>
            <w:tcBorders>
              <w:top w:val="nil"/>
              <w:left w:val="nil"/>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12</w:t>
            </w:r>
            <w:r>
              <w:rPr>
                <w:rFonts w:ascii="ＭＳ ゴシック" w:eastAsia="ＭＳ ゴシック" w:hAnsi="ＭＳ ゴシック" w:cs="ＭＳ ゴシック" w:hint="eastAsia"/>
                <w:color w:val="000000"/>
                <w:kern w:val="0"/>
                <w:szCs w:val="21"/>
              </w:rPr>
              <w:t>％分を上乗せ</w:t>
            </w:r>
          </w:p>
        </w:tc>
      </w:tr>
      <w:tr w:rsidR="00000000">
        <w:tblPrEx>
          <w:tblCellMar>
            <w:top w:w="0" w:type="dxa"/>
            <w:left w:w="0" w:type="dxa"/>
            <w:bottom w:w="0" w:type="dxa"/>
            <w:right w:w="0" w:type="dxa"/>
          </w:tblCellMar>
        </w:tblPrEx>
        <w:tc>
          <w:tcPr>
            <w:tcW w:w="4789" w:type="dxa"/>
            <w:tcBorders>
              <w:top w:val="nil"/>
              <w:left w:val="single" w:sz="4" w:space="0" w:color="000000"/>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500</w:t>
            </w:r>
            <w:r>
              <w:rPr>
                <w:rFonts w:ascii="ＭＳ ゴシック" w:eastAsia="ＭＳ ゴシック" w:hAnsi="ＭＳ ゴシック" w:cs="ＭＳ ゴシック" w:hint="eastAsia"/>
                <w:color w:val="000000"/>
                <w:kern w:val="0"/>
                <w:szCs w:val="21"/>
              </w:rPr>
              <w:t>枚以上の場合</w:t>
            </w:r>
          </w:p>
        </w:tc>
        <w:tc>
          <w:tcPr>
            <w:tcW w:w="5188" w:type="dxa"/>
            <w:tcBorders>
              <w:top w:val="nil"/>
              <w:left w:val="nil"/>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15</w:t>
            </w:r>
            <w:r>
              <w:rPr>
                <w:rFonts w:ascii="ＭＳ ゴシック" w:eastAsia="ＭＳ ゴシック" w:hAnsi="ＭＳ ゴシック" w:cs="ＭＳ ゴシック" w:hint="eastAsia"/>
                <w:color w:val="000000"/>
                <w:kern w:val="0"/>
                <w:szCs w:val="21"/>
              </w:rPr>
              <w:t>％分を上乗せ</w:t>
            </w:r>
          </w:p>
        </w:tc>
      </w:tr>
      <w:tr w:rsidR="00000000">
        <w:tblPrEx>
          <w:tblCellMar>
            <w:top w:w="0" w:type="dxa"/>
            <w:left w:w="0" w:type="dxa"/>
            <w:bottom w:w="0" w:type="dxa"/>
            <w:right w:w="0" w:type="dxa"/>
          </w:tblCellMar>
        </w:tblPrEx>
        <w:tc>
          <w:tcPr>
            <w:tcW w:w="4789" w:type="dxa"/>
            <w:tcBorders>
              <w:top w:val="nil"/>
              <w:left w:val="single" w:sz="4" w:space="0" w:color="000000"/>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1,000</w:t>
            </w:r>
            <w:r>
              <w:rPr>
                <w:rFonts w:ascii="ＭＳ ゴシック" w:eastAsia="ＭＳ ゴシック" w:hAnsi="ＭＳ ゴシック" w:cs="ＭＳ ゴシック" w:hint="eastAsia"/>
                <w:color w:val="000000"/>
                <w:kern w:val="0"/>
                <w:szCs w:val="21"/>
              </w:rPr>
              <w:t>枚以上の場合</w:t>
            </w:r>
          </w:p>
        </w:tc>
        <w:tc>
          <w:tcPr>
            <w:tcW w:w="5188" w:type="dxa"/>
            <w:tcBorders>
              <w:top w:val="nil"/>
              <w:left w:val="nil"/>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％分を上乗せ</w:t>
            </w:r>
          </w:p>
        </w:tc>
      </w:tr>
      <w:tr w:rsidR="00000000">
        <w:tblPrEx>
          <w:tblCellMar>
            <w:top w:w="0" w:type="dxa"/>
            <w:left w:w="0" w:type="dxa"/>
            <w:bottom w:w="0" w:type="dxa"/>
            <w:right w:w="0" w:type="dxa"/>
          </w:tblCellMar>
        </w:tblPrEx>
        <w:tc>
          <w:tcPr>
            <w:tcW w:w="4789" w:type="dxa"/>
            <w:tcBorders>
              <w:top w:val="nil"/>
              <w:left w:val="single" w:sz="4" w:space="0" w:color="000000"/>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2,000</w:t>
            </w:r>
            <w:r>
              <w:rPr>
                <w:rFonts w:ascii="ＭＳ ゴシック" w:eastAsia="ＭＳ ゴシック" w:hAnsi="ＭＳ ゴシック" w:cs="ＭＳ ゴシック" w:hint="eastAsia"/>
                <w:color w:val="000000"/>
                <w:kern w:val="0"/>
                <w:szCs w:val="21"/>
              </w:rPr>
              <w:t>枚以上の場合</w:t>
            </w:r>
          </w:p>
        </w:tc>
        <w:tc>
          <w:tcPr>
            <w:tcW w:w="5188" w:type="dxa"/>
            <w:tcBorders>
              <w:top w:val="nil"/>
              <w:left w:val="nil"/>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25</w:t>
            </w:r>
            <w:r>
              <w:rPr>
                <w:rFonts w:ascii="ＭＳ ゴシック" w:eastAsia="ＭＳ ゴシック" w:hAnsi="ＭＳ ゴシック" w:cs="ＭＳ ゴシック" w:hint="eastAsia"/>
                <w:color w:val="000000"/>
                <w:kern w:val="0"/>
                <w:szCs w:val="21"/>
              </w:rPr>
              <w:t>％分を上乗せ</w:t>
            </w:r>
          </w:p>
        </w:tc>
      </w:tr>
      <w:tr w:rsidR="00000000">
        <w:tblPrEx>
          <w:tblCellMar>
            <w:top w:w="0" w:type="dxa"/>
            <w:left w:w="0" w:type="dxa"/>
            <w:bottom w:w="0" w:type="dxa"/>
            <w:right w:w="0" w:type="dxa"/>
          </w:tblCellMar>
        </w:tblPrEx>
        <w:tc>
          <w:tcPr>
            <w:tcW w:w="4789" w:type="dxa"/>
            <w:tcBorders>
              <w:top w:val="nil"/>
              <w:left w:val="single" w:sz="4" w:space="0" w:color="000000"/>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3,000</w:t>
            </w:r>
            <w:r>
              <w:rPr>
                <w:rFonts w:ascii="ＭＳ ゴシック" w:eastAsia="ＭＳ ゴシック" w:hAnsi="ＭＳ ゴシック" w:cs="ＭＳ ゴシック" w:hint="eastAsia"/>
                <w:color w:val="000000"/>
                <w:kern w:val="0"/>
                <w:szCs w:val="21"/>
              </w:rPr>
              <w:t>枚以上の場合</w:t>
            </w:r>
          </w:p>
        </w:tc>
        <w:tc>
          <w:tcPr>
            <w:tcW w:w="5188" w:type="dxa"/>
            <w:tcBorders>
              <w:top w:val="nil"/>
              <w:left w:val="nil"/>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30</w:t>
            </w:r>
            <w:r>
              <w:rPr>
                <w:rFonts w:ascii="ＭＳ ゴシック" w:eastAsia="ＭＳ ゴシック" w:hAnsi="ＭＳ ゴシック" w:cs="ＭＳ ゴシック" w:hint="eastAsia"/>
                <w:color w:val="000000"/>
                <w:kern w:val="0"/>
                <w:szCs w:val="21"/>
              </w:rPr>
              <w:t>％分を上乗せ</w:t>
            </w:r>
          </w:p>
        </w:tc>
      </w:tr>
      <w:tr w:rsidR="00000000">
        <w:tblPrEx>
          <w:tblCellMar>
            <w:top w:w="0" w:type="dxa"/>
            <w:left w:w="0" w:type="dxa"/>
            <w:bottom w:w="0" w:type="dxa"/>
            <w:right w:w="0" w:type="dxa"/>
          </w:tblCellMar>
        </w:tblPrEx>
        <w:tc>
          <w:tcPr>
            <w:tcW w:w="4789" w:type="dxa"/>
            <w:tcBorders>
              <w:top w:val="nil"/>
              <w:left w:val="single" w:sz="4" w:space="0" w:color="000000"/>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5,000</w:t>
            </w:r>
            <w:r>
              <w:rPr>
                <w:rFonts w:ascii="ＭＳ ゴシック" w:eastAsia="ＭＳ ゴシック" w:hAnsi="ＭＳ ゴシック" w:cs="ＭＳ ゴシック" w:hint="eastAsia"/>
                <w:color w:val="000000"/>
                <w:kern w:val="0"/>
                <w:szCs w:val="21"/>
              </w:rPr>
              <w:t>枚以上の場合</w:t>
            </w:r>
          </w:p>
        </w:tc>
        <w:tc>
          <w:tcPr>
            <w:tcW w:w="5188" w:type="dxa"/>
            <w:tcBorders>
              <w:top w:val="nil"/>
              <w:left w:val="nil"/>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50</w:t>
            </w:r>
            <w:r>
              <w:rPr>
                <w:rFonts w:ascii="ＭＳ ゴシック" w:eastAsia="ＭＳ ゴシック" w:hAnsi="ＭＳ ゴシック" w:cs="ＭＳ ゴシック" w:hint="eastAsia"/>
                <w:color w:val="000000"/>
                <w:kern w:val="0"/>
                <w:szCs w:val="21"/>
              </w:rPr>
              <w:t>％分を上乗せ</w:t>
            </w:r>
          </w:p>
        </w:tc>
      </w:tr>
      <w:tr w:rsidR="00000000">
        <w:tblPrEx>
          <w:tblCellMar>
            <w:top w:w="0" w:type="dxa"/>
            <w:left w:w="0" w:type="dxa"/>
            <w:bottom w:w="0" w:type="dxa"/>
            <w:right w:w="0" w:type="dxa"/>
          </w:tblCellMar>
        </w:tblPrEx>
        <w:tc>
          <w:tcPr>
            <w:tcW w:w="4789" w:type="dxa"/>
            <w:tcBorders>
              <w:top w:val="nil"/>
              <w:left w:val="single" w:sz="4" w:space="0" w:color="000000"/>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10,000</w:t>
            </w:r>
            <w:r>
              <w:rPr>
                <w:rFonts w:ascii="ＭＳ ゴシック" w:eastAsia="ＭＳ ゴシック" w:hAnsi="ＭＳ ゴシック" w:cs="ＭＳ ゴシック" w:hint="eastAsia"/>
                <w:color w:val="000000"/>
                <w:kern w:val="0"/>
                <w:szCs w:val="21"/>
              </w:rPr>
              <w:t>枚以上の場合</w:t>
            </w:r>
          </w:p>
        </w:tc>
        <w:tc>
          <w:tcPr>
            <w:tcW w:w="5188" w:type="dxa"/>
            <w:tcBorders>
              <w:top w:val="nil"/>
              <w:left w:val="nil"/>
              <w:bottom w:val="single" w:sz="4" w:space="0" w:color="000000"/>
              <w:right w:val="single" w:sz="4" w:space="0" w:color="000000"/>
            </w:tcBorders>
          </w:tcPr>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％分を上乗せ</w:t>
            </w:r>
          </w:p>
        </w:tc>
      </w:tr>
    </w:tbl>
    <w:p w:rsidR="00000000" w:rsidRDefault="009D76FD">
      <w:pPr>
        <w:autoSpaceDE w:val="0"/>
        <w:autoSpaceDN w:val="0"/>
        <w:adjustRightInd w:val="0"/>
        <w:spacing w:line="20" w:lineRule="atLeast"/>
        <w:ind w:left="42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備考</w:t>
      </w:r>
    </w:p>
    <w:p w:rsidR="00000000" w:rsidRDefault="009D76FD">
      <w:pPr>
        <w:autoSpaceDE w:val="0"/>
        <w:autoSpaceDN w:val="0"/>
        <w:adjustRightInd w:val="0"/>
        <w:spacing w:line="20" w:lineRule="atLeast"/>
        <w:ind w:left="63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 xml:space="preserve">　販売枚数は、</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時間当たりの利用料金に相当する駐車割引券を</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枚として換算した枚数とする。</w:t>
      </w:r>
    </w:p>
    <w:p w:rsidR="00000000" w:rsidRDefault="009D76FD">
      <w:pPr>
        <w:autoSpaceDE w:val="0"/>
        <w:autoSpaceDN w:val="0"/>
        <w:adjustRightInd w:val="0"/>
        <w:spacing w:line="20" w:lineRule="atLeast"/>
        <w:ind w:left="63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 xml:space="preserve">　駐車割引券は、</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枚単位の販売とする。</w:t>
      </w:r>
    </w:p>
    <w:p w:rsidR="00000000" w:rsidRDefault="009D76FD">
      <w:pPr>
        <w:autoSpaceDE w:val="0"/>
        <w:autoSpaceDN w:val="0"/>
        <w:adjustRightInd w:val="0"/>
        <w:spacing w:line="20" w:lineRule="atLeast"/>
        <w:ind w:left="63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 xml:space="preserve">　上乗せ率を乗じて得た枚数に</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枚未満の端数が生じる場合は、切り捨てる。</w:t>
      </w:r>
    </w:p>
    <w:p w:rsidR="00000000" w:rsidRDefault="009D76FD">
      <w:pPr>
        <w:autoSpaceDE w:val="0"/>
        <w:autoSpaceDN w:val="0"/>
        <w:adjustRightInd w:val="0"/>
        <w:jc w:val="left"/>
        <w:rPr>
          <w:rFonts w:ascii="Arial" w:hAnsi="Arial" w:cs="Arial"/>
          <w:kern w:val="0"/>
          <w:sz w:val="24"/>
          <w:szCs w:val="24"/>
        </w:rPr>
        <w:sectPr w:rsidR="00000000">
          <w:footerReference w:type="default" r:id="rId6"/>
          <w:pgSz w:w="11905" w:h="16837"/>
          <w:pgMar w:top="963" w:right="963" w:bottom="963" w:left="963" w:header="720" w:footer="720" w:gutter="0"/>
          <w:cols w:space="720"/>
          <w:noEndnote/>
        </w:sectPr>
      </w:pPr>
    </w:p>
    <w:p w:rsidR="00000000" w:rsidRDefault="009D76FD">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w:lastRenderedPageBreak/>
        <w:drawing>
          <wp:inline distT="0" distB="0" distL="0" distR="0">
            <wp:extent cx="6276975" cy="9001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6975" cy="9001125"/>
                    </a:xfrm>
                    <a:prstGeom prst="rect">
                      <a:avLst/>
                    </a:prstGeom>
                    <a:noFill/>
                    <a:ln>
                      <a:noFill/>
                    </a:ln>
                  </pic:spPr>
                </pic:pic>
              </a:graphicData>
            </a:graphic>
          </wp:inline>
        </w:drawing>
      </w:r>
    </w:p>
    <w:p w:rsidR="00000000" w:rsidRDefault="009D76FD">
      <w:pPr>
        <w:autoSpaceDE w:val="0"/>
        <w:autoSpaceDN w:val="0"/>
        <w:adjustRightInd w:val="0"/>
        <w:jc w:val="left"/>
        <w:rPr>
          <w:rFonts w:ascii="Arial" w:hAnsi="Arial" w:cs="Arial"/>
          <w:kern w:val="0"/>
          <w:sz w:val="24"/>
          <w:szCs w:val="24"/>
        </w:rPr>
        <w:sectPr w:rsidR="00000000">
          <w:footerReference w:type="default" r:id="rId8"/>
          <w:pgSz w:w="11905" w:h="16837"/>
          <w:pgMar w:top="963" w:right="963" w:bottom="963" w:left="963" w:header="720" w:footer="720" w:gutter="0"/>
          <w:cols w:space="720"/>
          <w:noEndnote/>
        </w:sectPr>
      </w:pPr>
    </w:p>
    <w:p w:rsidR="00000000" w:rsidRDefault="009D76FD">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w:lastRenderedPageBreak/>
        <w:drawing>
          <wp:inline distT="0" distB="0" distL="0" distR="0">
            <wp:extent cx="6276975" cy="9001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6975" cy="9001125"/>
                    </a:xfrm>
                    <a:prstGeom prst="rect">
                      <a:avLst/>
                    </a:prstGeom>
                    <a:noFill/>
                    <a:ln>
                      <a:noFill/>
                    </a:ln>
                  </pic:spPr>
                </pic:pic>
              </a:graphicData>
            </a:graphic>
          </wp:inline>
        </w:drawing>
      </w:r>
    </w:p>
    <w:p w:rsidR="00000000" w:rsidRDefault="009D76FD">
      <w:pPr>
        <w:autoSpaceDE w:val="0"/>
        <w:autoSpaceDN w:val="0"/>
        <w:adjustRightInd w:val="0"/>
        <w:jc w:val="left"/>
        <w:rPr>
          <w:rFonts w:ascii="Arial" w:hAnsi="Arial" w:cs="Arial"/>
          <w:kern w:val="0"/>
          <w:sz w:val="24"/>
          <w:szCs w:val="24"/>
        </w:rPr>
        <w:sectPr w:rsidR="00000000">
          <w:footerReference w:type="default" r:id="rId10"/>
          <w:pgSz w:w="11905" w:h="16837"/>
          <w:pgMar w:top="963" w:right="963" w:bottom="963" w:left="963" w:header="720" w:footer="720" w:gutter="0"/>
          <w:cols w:space="720"/>
          <w:noEndnote/>
        </w:sectPr>
      </w:pPr>
    </w:p>
    <w:p w:rsidR="00000000" w:rsidRDefault="009D76FD">
      <w:pPr>
        <w:autoSpaceDE w:val="0"/>
        <w:autoSpaceDN w:val="0"/>
        <w:adjustRightInd w:val="0"/>
        <w:spacing w:line="2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w:lastRenderedPageBreak/>
        <w:drawing>
          <wp:inline distT="0" distB="0" distL="0" distR="0">
            <wp:extent cx="6276975" cy="90011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6975" cy="9001125"/>
                    </a:xfrm>
                    <a:prstGeom prst="rect">
                      <a:avLst/>
                    </a:prstGeom>
                    <a:noFill/>
                    <a:ln>
                      <a:noFill/>
                    </a:ln>
                  </pic:spPr>
                </pic:pic>
              </a:graphicData>
            </a:graphic>
          </wp:inline>
        </w:drawing>
      </w:r>
    </w:p>
    <w:p w:rsidR="00000000" w:rsidRDefault="009D76FD">
      <w:pPr>
        <w:autoSpaceDE w:val="0"/>
        <w:autoSpaceDN w:val="0"/>
        <w:adjustRightInd w:val="0"/>
        <w:jc w:val="left"/>
        <w:rPr>
          <w:rFonts w:ascii="Arial" w:hAnsi="Arial" w:cs="Arial"/>
          <w:kern w:val="0"/>
          <w:sz w:val="24"/>
          <w:szCs w:val="24"/>
        </w:rPr>
        <w:sectPr w:rsidR="00000000">
          <w:footerReference w:type="default" r:id="rId12"/>
          <w:pgSz w:w="11905" w:h="16837"/>
          <w:pgMar w:top="963" w:right="963" w:bottom="963" w:left="963" w:header="720" w:footer="720" w:gutter="0"/>
          <w:cols w:space="720"/>
          <w:noEndnote/>
        </w:sectPr>
      </w:pP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様式第</w:t>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条関係</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様式第</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条関係</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210" w:hanging="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様式第</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号</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color w:val="000000"/>
          <w:kern w:val="0"/>
          <w:szCs w:val="21"/>
        </w:rPr>
        <w:t>5</w:t>
      </w:r>
      <w:r>
        <w:rPr>
          <w:rFonts w:ascii="ＭＳ ゴシック" w:eastAsia="ＭＳ ゴシック" w:hAnsi="ＭＳ ゴシック" w:cs="ＭＳ ゴシック" w:hint="eastAsia"/>
          <w:color w:val="000000"/>
          <w:kern w:val="0"/>
          <w:szCs w:val="21"/>
        </w:rPr>
        <w:t>条関係</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ind w:left="8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平</w:t>
      </w:r>
      <w:r>
        <w:rPr>
          <w:rFonts w:ascii="ＭＳ ゴシック" w:eastAsia="ＭＳ ゴシック" w:hAnsi="ＭＳ ゴシック" w:cs="ＭＳ ゴシック"/>
          <w:color w:val="000000"/>
          <w:kern w:val="0"/>
          <w:szCs w:val="21"/>
        </w:rPr>
        <w:t>18</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22</w:t>
      </w:r>
      <w:r>
        <w:rPr>
          <w:rFonts w:ascii="ＭＳ ゴシック" w:eastAsia="ＭＳ ゴシック" w:hAnsi="ＭＳ ゴシック" w:cs="ＭＳ ゴシック" w:hint="eastAsia"/>
          <w:color w:val="000000"/>
          <w:kern w:val="0"/>
          <w:szCs w:val="21"/>
        </w:rPr>
        <w:t>・令</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規則</w:t>
      </w:r>
      <w:r>
        <w:rPr>
          <w:rFonts w:ascii="ＭＳ ゴシック" w:eastAsia="ＭＳ ゴシック" w:hAnsi="ＭＳ ゴシック" w:cs="ＭＳ ゴシック"/>
          <w:color w:val="000000"/>
          <w:kern w:val="0"/>
          <w:szCs w:val="21"/>
        </w:rPr>
        <w:t>62</w:t>
      </w:r>
      <w:r>
        <w:rPr>
          <w:rFonts w:ascii="ＭＳ ゴシック" w:eastAsia="ＭＳ ゴシック" w:hAnsi="ＭＳ ゴシック" w:cs="ＭＳ ゴシック" w:hint="eastAsia"/>
          <w:color w:val="000000"/>
          <w:kern w:val="0"/>
          <w:szCs w:val="21"/>
        </w:rPr>
        <w:t>・一部改正</w:t>
      </w:r>
      <w:r>
        <w:rPr>
          <w:rFonts w:ascii="ＭＳ ゴシック" w:eastAsia="ＭＳ ゴシック" w:hAnsi="ＭＳ ゴシック" w:cs="ＭＳ ゴシック"/>
          <w:color w:val="000000"/>
          <w:kern w:val="0"/>
          <w:szCs w:val="21"/>
        </w:rPr>
        <w:t>)</w:t>
      </w:r>
    </w:p>
    <w:p w:rsidR="00000000" w:rsidRDefault="009D76FD">
      <w:pPr>
        <w:autoSpaceDE w:val="0"/>
        <w:autoSpaceDN w:val="0"/>
        <w:adjustRightInd w:val="0"/>
        <w:spacing w:line="20" w:lineRule="atLeast"/>
        <w:jc w:val="left"/>
        <w:rPr>
          <w:rFonts w:ascii="ＭＳ ゴシック" w:eastAsia="ＭＳ ゴシック" w:hAnsi="ＭＳ ゴシック" w:cs="ＭＳ ゴシック"/>
          <w:color w:val="000000"/>
          <w:kern w:val="0"/>
          <w:szCs w:val="21"/>
        </w:rPr>
      </w:pPr>
      <w:bookmarkStart w:id="1" w:name="last"/>
      <w:bookmarkEnd w:id="1"/>
    </w:p>
    <w:sectPr w:rsidR="00000000">
      <w:footerReference w:type="default" r:id="rId13"/>
      <w:pgSz w:w="11905" w:h="16837"/>
      <w:pgMar w:top="963" w:right="963" w:bottom="963" w:left="96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D76FD">
      <w:r>
        <w:separator/>
      </w:r>
    </w:p>
  </w:endnote>
  <w:endnote w:type="continuationSeparator" w:id="0">
    <w:p w:rsidR="00000000" w:rsidRDefault="009D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D76FD">
    <w:pPr>
      <w:autoSpaceDE w:val="0"/>
      <w:autoSpaceDN w:val="0"/>
      <w:adjustRightInd w:val="0"/>
      <w:spacing w:line="252"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PAGE</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fldChar w:fldCharType="end"/>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 xml:space="preserve"> PAGEREF "last"  </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noProof/>
        <w:color w:val="000000"/>
        <w:kern w:val="0"/>
        <w:szCs w:val="21"/>
      </w:rPr>
      <w:t>6</w:t>
    </w:r>
    <w:r>
      <w:rPr>
        <w:rFonts w:ascii="ＭＳ ゴシック" w:eastAsia="ＭＳ ゴシック" w:hAnsi="ＭＳ ゴシック" w:cs="ＭＳ ゴシック"/>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D76FD">
    <w:pPr>
      <w:autoSpaceDE w:val="0"/>
      <w:autoSpaceDN w:val="0"/>
      <w:adjustRightInd w:val="0"/>
      <w:spacing w:line="252"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PAGE</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fldChar w:fldCharType="end"/>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 xml:space="preserve"> PAGEREF "last"  </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noProof/>
        <w:color w:val="000000"/>
        <w:kern w:val="0"/>
        <w:szCs w:val="21"/>
      </w:rPr>
      <w:t>3</w:t>
    </w:r>
    <w:r>
      <w:rPr>
        <w:rFonts w:ascii="ＭＳ ゴシック" w:eastAsia="ＭＳ ゴシック" w:hAnsi="ＭＳ ゴシック" w:cs="ＭＳ ゴシック"/>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D76FD">
    <w:pPr>
      <w:autoSpaceDE w:val="0"/>
      <w:autoSpaceDN w:val="0"/>
      <w:adjustRightInd w:val="0"/>
      <w:spacing w:line="252"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PAGE</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fldChar w:fldCharType="end"/>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 xml:space="preserve"> PAGEREF "last"  </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noProof/>
        <w:color w:val="000000"/>
        <w:kern w:val="0"/>
        <w:szCs w:val="21"/>
      </w:rPr>
      <w:t>4</w:t>
    </w:r>
    <w:r>
      <w:rPr>
        <w:rFonts w:ascii="ＭＳ ゴシック" w:eastAsia="ＭＳ ゴシック" w:hAnsi="ＭＳ ゴシック" w:cs="ＭＳ ゴシック"/>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D76FD">
    <w:pPr>
      <w:autoSpaceDE w:val="0"/>
      <w:autoSpaceDN w:val="0"/>
      <w:adjustRightInd w:val="0"/>
      <w:spacing w:line="252"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PAGE</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fldChar w:fldCharType="end"/>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 xml:space="preserve"> PAGEREF "last"  </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noProof/>
        <w:color w:val="000000"/>
        <w:kern w:val="0"/>
        <w:szCs w:val="21"/>
      </w:rPr>
      <w:t>5</w:t>
    </w:r>
    <w:r>
      <w:rPr>
        <w:rFonts w:ascii="ＭＳ ゴシック" w:eastAsia="ＭＳ ゴシック" w:hAnsi="ＭＳ ゴシック" w:cs="ＭＳ ゴシック"/>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D76FD">
    <w:pPr>
      <w:autoSpaceDE w:val="0"/>
      <w:autoSpaceDN w:val="0"/>
      <w:adjustRightInd w:val="0"/>
      <w:spacing w:line="252"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PAGE</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fldChar w:fldCharType="end"/>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color w:val="000000"/>
        <w:kern w:val="0"/>
        <w:szCs w:val="21"/>
      </w:rPr>
      <w:fldChar w:fldCharType="begin"/>
    </w:r>
    <w:r>
      <w:rPr>
        <w:rFonts w:ascii="ＭＳ ゴシック" w:eastAsia="ＭＳ ゴシック" w:hAnsi="ＭＳ ゴシック" w:cs="ＭＳ ゴシック"/>
        <w:color w:val="000000"/>
        <w:kern w:val="0"/>
        <w:szCs w:val="21"/>
      </w:rPr>
      <w:instrText xml:space="preserve"> PAGEREF "last"  </w:instrText>
    </w:r>
    <w:r>
      <w:rPr>
        <w:rFonts w:ascii="ＭＳ ゴシック" w:eastAsia="ＭＳ ゴシック" w:hAnsi="ＭＳ ゴシック" w:cs="ＭＳ ゴシック"/>
        <w:color w:val="000000"/>
        <w:kern w:val="0"/>
        <w:szCs w:val="21"/>
      </w:rPr>
      <w:fldChar w:fldCharType="separate"/>
    </w:r>
    <w:r>
      <w:rPr>
        <w:rFonts w:ascii="ＭＳ ゴシック" w:eastAsia="ＭＳ ゴシック" w:hAnsi="ＭＳ ゴシック" w:cs="ＭＳ ゴシック"/>
        <w:noProof/>
        <w:color w:val="000000"/>
        <w:kern w:val="0"/>
        <w:szCs w:val="21"/>
      </w:rPr>
      <w:t>6</w:t>
    </w:r>
    <w:r>
      <w:rPr>
        <w:rFonts w:ascii="ＭＳ ゴシック" w:eastAsia="ＭＳ ゴシック" w:hAnsi="ＭＳ ゴシック" w:cs="ＭＳ ゴシック"/>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D76FD">
      <w:r>
        <w:separator/>
      </w:r>
    </w:p>
  </w:footnote>
  <w:footnote w:type="continuationSeparator" w:id="0">
    <w:p w:rsidR="00000000" w:rsidRDefault="009D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FD"/>
    <w:rsid w:val="009D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FECB84-7EC6-47F5-AE0B-F53EED26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伶奈</dc:creator>
  <cp:keywords/>
  <dc:description/>
  <cp:lastModifiedBy>泉　伶奈</cp:lastModifiedBy>
  <cp:revision>2</cp:revision>
  <dcterms:created xsi:type="dcterms:W3CDTF">2025-08-21T09:10:00Z</dcterms:created>
  <dcterms:modified xsi:type="dcterms:W3CDTF">2025-08-21T09:10:00Z</dcterms:modified>
</cp:coreProperties>
</file>